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0B42B" w14:textId="77777777" w:rsidR="009A0FF6" w:rsidRDefault="009A0FF6" w:rsidP="002F6CE5">
      <w:pPr>
        <w:ind w:left="2292" w:hanging="2292"/>
      </w:pPr>
      <w:bookmarkStart w:id="0" w:name="_Toc209500354"/>
      <w:bookmarkStart w:id="1" w:name="_Toc219275270"/>
      <w:bookmarkStart w:id="2" w:name="_Toc219275340"/>
      <w:bookmarkStart w:id="3" w:name="_Toc219518985"/>
    </w:p>
    <w:p w14:paraId="3D10B42C" w14:textId="77777777" w:rsidR="008720EB" w:rsidRPr="00D90214" w:rsidRDefault="008720EB" w:rsidP="002F6CE5">
      <w:pPr>
        <w:ind w:left="2292" w:hanging="2292"/>
        <w:rPr>
          <w:lang w:val="en-US"/>
        </w:rPr>
      </w:pPr>
      <w:r w:rsidRPr="00D90214">
        <w:rPr>
          <w:lang w:val="en-US"/>
        </w:rPr>
        <w:t xml:space="preserve">SCORECARD </w:t>
      </w:r>
      <w:r w:rsidR="00F008D7" w:rsidRPr="00D90214">
        <w:rPr>
          <w:lang w:val="en-US"/>
        </w:rPr>
        <w:tab/>
        <w:t>Office for the Coordination of Humanitarian Affairs (OCHA)</w:t>
      </w:r>
    </w:p>
    <w:p w14:paraId="3D10B42D" w14:textId="77777777" w:rsidR="008720EB" w:rsidRPr="00D90214" w:rsidRDefault="008720EB" w:rsidP="002F6CE5">
      <w:pPr>
        <w:ind w:left="2292" w:hanging="2292"/>
        <w:rPr>
          <w:lang w:val="en-US"/>
        </w:rPr>
      </w:pPr>
    </w:p>
    <w:p w14:paraId="3D10B42E" w14:textId="77777777" w:rsidR="00D90214" w:rsidRDefault="00AC00D2" w:rsidP="00D90214">
      <w:pPr>
        <w:ind w:left="2292" w:hanging="2292"/>
      </w:pPr>
      <w:fldSimple w:instr=" DOCPROPERTY  L_CONTACT  \* MERGEFORMAT ">
        <w:r w:rsidR="00BA3472">
          <w:t>Opgesteld door</w:t>
        </w:r>
      </w:fldSimple>
      <w:r w:rsidR="002F6CE5" w:rsidRPr="00785F18">
        <w:tab/>
      </w:r>
      <w:r w:rsidR="00D90214">
        <w:t>Directie Stabiliteit en Humanitaire Hulp</w:t>
      </w:r>
    </w:p>
    <w:p w14:paraId="3D10B42F" w14:textId="6921BEE2" w:rsidR="00D90214" w:rsidRPr="00785F18" w:rsidRDefault="00D90214" w:rsidP="00D90214">
      <w:pPr>
        <w:ind w:left="2292" w:hanging="2292"/>
      </w:pPr>
      <w:r>
        <w:tab/>
        <w:t>Afdeling Humanitaire Hulp</w:t>
      </w:r>
      <w:r w:rsidRPr="00785F18">
        <w:br/>
      </w:r>
    </w:p>
    <w:p w14:paraId="3D10B430" w14:textId="77777777" w:rsidR="002F6CE5" w:rsidRPr="00785F18" w:rsidRDefault="002F6CE5" w:rsidP="00D90214">
      <w:pPr>
        <w:ind w:left="2292" w:hanging="2292"/>
      </w:pPr>
    </w:p>
    <w:tbl>
      <w:tblPr>
        <w:tblW w:w="0" w:type="auto"/>
        <w:tblLook w:val="01E0" w:firstRow="1" w:lastRow="1" w:firstColumn="1" w:lastColumn="1" w:noHBand="0" w:noVBand="0"/>
      </w:tblPr>
      <w:tblGrid>
        <w:gridCol w:w="2246"/>
        <w:gridCol w:w="5480"/>
      </w:tblGrid>
      <w:tr w:rsidR="002F6CE5" w:rsidRPr="004F36CC" w14:paraId="3D10B434" w14:textId="77777777" w:rsidTr="008F1B70">
        <w:tc>
          <w:tcPr>
            <w:tcW w:w="2268" w:type="dxa"/>
            <w:shd w:val="clear" w:color="auto" w:fill="auto"/>
          </w:tcPr>
          <w:p w14:paraId="3D10B431" w14:textId="76A81A9B" w:rsidR="002F6CE5" w:rsidRPr="00785F18" w:rsidRDefault="00AC00D2" w:rsidP="00975BFB">
            <w:fldSimple w:instr=" DOCPROPERTY  L_AUTHOR  \* MERGEFORMAT ">
              <w:r w:rsidR="00975BFB">
                <w:t>Redacteur</w:t>
              </w:r>
              <w:r w:rsidR="00BA3472">
                <w:t>en:</w:t>
              </w:r>
            </w:fldSimple>
          </w:p>
        </w:tc>
        <w:tc>
          <w:tcPr>
            <w:tcW w:w="5598" w:type="dxa"/>
            <w:shd w:val="clear" w:color="auto" w:fill="auto"/>
          </w:tcPr>
          <w:p w14:paraId="3D10B432" w14:textId="3157B0C3" w:rsidR="00D90214" w:rsidRPr="00345768" w:rsidRDefault="00D90214" w:rsidP="00D90214">
            <w:pPr>
              <w:rPr>
                <w:lang w:val="fr-FR"/>
              </w:rPr>
            </w:pPr>
            <w:proofErr w:type="spellStart"/>
            <w:r w:rsidRPr="00345768">
              <w:rPr>
                <w:lang w:val="fr-FR"/>
              </w:rPr>
              <w:t>Gonneke</w:t>
            </w:r>
            <w:proofErr w:type="spellEnd"/>
            <w:r w:rsidRPr="00345768">
              <w:rPr>
                <w:lang w:val="fr-FR"/>
              </w:rPr>
              <w:t xml:space="preserve"> de Ridder</w:t>
            </w:r>
            <w:r w:rsidR="00345768" w:rsidRPr="00345768">
              <w:rPr>
                <w:lang w:val="fr-FR"/>
              </w:rPr>
              <w:t>,</w:t>
            </w:r>
            <w:r w:rsidRPr="00345768">
              <w:rPr>
                <w:lang w:val="fr-FR"/>
              </w:rPr>
              <w:t xml:space="preserve"> </w:t>
            </w:r>
            <w:proofErr w:type="spellStart"/>
            <w:r w:rsidRPr="00345768">
              <w:rPr>
                <w:lang w:val="fr-FR"/>
              </w:rPr>
              <w:t>Elianne</w:t>
            </w:r>
            <w:proofErr w:type="spellEnd"/>
            <w:r w:rsidRPr="00345768">
              <w:rPr>
                <w:lang w:val="fr-FR"/>
              </w:rPr>
              <w:t xml:space="preserve"> </w:t>
            </w:r>
            <w:proofErr w:type="spellStart"/>
            <w:r w:rsidRPr="00345768">
              <w:rPr>
                <w:lang w:val="fr-FR"/>
              </w:rPr>
              <w:t>Lambalk</w:t>
            </w:r>
            <w:proofErr w:type="spellEnd"/>
            <w:r w:rsidR="004F36CC">
              <w:rPr>
                <w:lang w:val="fr-FR"/>
              </w:rPr>
              <w:t xml:space="preserve"> &amp;</w:t>
            </w:r>
            <w:r w:rsidR="00345768" w:rsidRPr="00345768">
              <w:rPr>
                <w:lang w:val="fr-FR"/>
              </w:rPr>
              <w:t xml:space="preserve"> Linda </w:t>
            </w:r>
            <w:proofErr w:type="spellStart"/>
            <w:r w:rsidR="00345768" w:rsidRPr="00345768">
              <w:rPr>
                <w:lang w:val="fr-FR"/>
              </w:rPr>
              <w:t>Bon</w:t>
            </w:r>
            <w:r w:rsidR="00345768">
              <w:rPr>
                <w:lang w:val="fr-FR"/>
              </w:rPr>
              <w:t>gers</w:t>
            </w:r>
            <w:proofErr w:type="spellEnd"/>
          </w:p>
          <w:p w14:paraId="3D10B433" w14:textId="64928B98" w:rsidR="002F6CE5" w:rsidRPr="00D90214" w:rsidRDefault="00D90214" w:rsidP="00D90214">
            <w:pPr>
              <w:rPr>
                <w:lang w:val="en-US"/>
              </w:rPr>
            </w:pPr>
            <w:proofErr w:type="spellStart"/>
            <w:r w:rsidRPr="00D90214">
              <w:rPr>
                <w:lang w:val="en-US"/>
              </w:rPr>
              <w:t>A</w:t>
            </w:r>
            <w:r w:rsidR="00326699" w:rsidRPr="00D90214">
              <w:rPr>
                <w:lang w:val="en-US"/>
              </w:rPr>
              <w:t>fgestemd</w:t>
            </w:r>
            <w:proofErr w:type="spellEnd"/>
            <w:r w:rsidR="00326699" w:rsidRPr="00D90214">
              <w:rPr>
                <w:lang w:val="en-US"/>
              </w:rPr>
              <w:t xml:space="preserve"> met</w:t>
            </w:r>
            <w:r w:rsidR="00194F38">
              <w:rPr>
                <w:lang w:val="en-US"/>
              </w:rPr>
              <w:t xml:space="preserve"> DSH</w:t>
            </w:r>
            <w:r w:rsidRPr="00D90214">
              <w:rPr>
                <w:lang w:val="en-US"/>
              </w:rPr>
              <w:t xml:space="preserve">, PV New York, PV </w:t>
            </w:r>
            <w:r w:rsidR="003B3E90" w:rsidRPr="00D90214">
              <w:rPr>
                <w:lang w:val="en-US"/>
              </w:rPr>
              <w:t>Genève</w:t>
            </w:r>
          </w:p>
        </w:tc>
      </w:tr>
    </w:tbl>
    <w:p w14:paraId="3D10B435" w14:textId="77777777" w:rsidR="00991C2E" w:rsidRPr="00D90214" w:rsidRDefault="00991C2E" w:rsidP="00991C2E">
      <w:pPr>
        <w:rPr>
          <w:lang w:val="en-US"/>
        </w:rPr>
      </w:pPr>
    </w:p>
    <w:p w14:paraId="3D10B436" w14:textId="77777777" w:rsidR="00991C2E" w:rsidRPr="00D90214" w:rsidRDefault="00991C2E" w:rsidP="00991C2E">
      <w:pPr>
        <w:rPr>
          <w:lang w:val="en-US"/>
        </w:rPr>
      </w:pPr>
    </w:p>
    <w:p w14:paraId="3D10B437" w14:textId="77777777" w:rsidR="00991C2E" w:rsidRPr="00D90214" w:rsidRDefault="00991C2E" w:rsidP="00991C2E">
      <w:pPr>
        <w:rPr>
          <w:lang w:val="en-US"/>
        </w:rPr>
      </w:pPr>
    </w:p>
    <w:p w14:paraId="3D10B438" w14:textId="77777777" w:rsidR="00326699" w:rsidRPr="004F36CC" w:rsidRDefault="00326699" w:rsidP="00326699">
      <w:pPr>
        <w:spacing w:line="240" w:lineRule="auto"/>
        <w:rPr>
          <w:lang w:val="en-US"/>
        </w:rPr>
      </w:pPr>
    </w:p>
    <w:p w14:paraId="3D10B439" w14:textId="77777777" w:rsidR="00326699" w:rsidRPr="004F36CC" w:rsidRDefault="00326699" w:rsidP="00326699">
      <w:pPr>
        <w:spacing w:line="240" w:lineRule="auto"/>
        <w:rPr>
          <w:lang w:val="en-US"/>
        </w:rPr>
      </w:pPr>
    </w:p>
    <w:p w14:paraId="3D10B43A" w14:textId="77777777" w:rsidR="00326699" w:rsidRPr="004F36CC" w:rsidRDefault="00326699" w:rsidP="00326699">
      <w:pPr>
        <w:spacing w:line="240" w:lineRule="auto"/>
        <w:rPr>
          <w:lang w:val="en-US"/>
        </w:rPr>
        <w:sectPr w:rsidR="00326699" w:rsidRPr="004F36CC" w:rsidSect="007D6565">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p w14:paraId="3D10B43F" w14:textId="00FF16AB" w:rsidR="00A908F9" w:rsidRDefault="008720EB" w:rsidP="00A908F9">
      <w:pPr>
        <w:pStyle w:val="Kop-Inhoudsopgave"/>
      </w:pPr>
      <w:bookmarkStart w:id="8" w:name="_Toc483404197"/>
      <w:bookmarkEnd w:id="0"/>
      <w:bookmarkEnd w:id="1"/>
      <w:bookmarkEnd w:id="2"/>
      <w:bookmarkEnd w:id="3"/>
      <w:r w:rsidRPr="004F36CC">
        <w:br w:type="page"/>
      </w:r>
      <w:fldSimple w:instr=" DOCPROPERTY  L_TOC  \* MERGEFORMAT ">
        <w:bookmarkStart w:id="9" w:name="_Toc287454445"/>
        <w:bookmarkStart w:id="10" w:name="_Toc287446465"/>
        <w:bookmarkStart w:id="11" w:name="_Toc491439692"/>
        <w:r w:rsidR="00A86E46">
          <w:t>Inhoudsopgave</w:t>
        </w:r>
        <w:bookmarkEnd w:id="8"/>
        <w:bookmarkEnd w:id="9"/>
        <w:bookmarkEnd w:id="10"/>
        <w:bookmarkEnd w:id="11"/>
      </w:fldSimple>
    </w:p>
    <w:p w14:paraId="233A9FC5" w14:textId="5FA69483" w:rsidR="00F3640D" w:rsidRDefault="00501C53">
      <w:pPr>
        <w:pStyle w:val="TOC1"/>
        <w:tabs>
          <w:tab w:val="right" w:leader="dot" w:pos="7716"/>
        </w:tabs>
        <w:rPr>
          <w:rFonts w:asciiTheme="minorHAnsi" w:eastAsiaTheme="minorEastAsia" w:hAnsiTheme="minorHAnsi" w:cstheme="minorBidi"/>
          <w:noProof/>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F3640D">
        <w:rPr>
          <w:noProof/>
        </w:rPr>
        <w:t>Inhoudsopgave</w:t>
      </w:r>
      <w:r w:rsidR="00F3640D">
        <w:rPr>
          <w:noProof/>
        </w:rPr>
        <w:tab/>
      </w:r>
      <w:r w:rsidR="00F3640D">
        <w:rPr>
          <w:noProof/>
        </w:rPr>
        <w:fldChar w:fldCharType="begin"/>
      </w:r>
      <w:r w:rsidR="00F3640D">
        <w:rPr>
          <w:noProof/>
        </w:rPr>
        <w:instrText xml:space="preserve"> PAGEREF _Toc491439692 \h </w:instrText>
      </w:r>
      <w:r w:rsidR="00F3640D">
        <w:rPr>
          <w:noProof/>
        </w:rPr>
      </w:r>
      <w:r w:rsidR="00F3640D">
        <w:rPr>
          <w:noProof/>
        </w:rPr>
        <w:fldChar w:fldCharType="separate"/>
      </w:r>
      <w:r w:rsidR="00F3640D">
        <w:rPr>
          <w:noProof/>
        </w:rPr>
        <w:t>2</w:t>
      </w:r>
      <w:r w:rsidR="00F3640D">
        <w:rPr>
          <w:noProof/>
        </w:rPr>
        <w:fldChar w:fldCharType="end"/>
      </w:r>
    </w:p>
    <w:p w14:paraId="1B101632" w14:textId="3640B68D" w:rsidR="00F3640D" w:rsidRDefault="00F3640D">
      <w:pPr>
        <w:pStyle w:val="TOC2"/>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Samenvatting</w:t>
      </w:r>
      <w:r>
        <w:tab/>
      </w:r>
      <w:r>
        <w:fldChar w:fldCharType="begin"/>
      </w:r>
      <w:r>
        <w:instrText xml:space="preserve"> PAGEREF _Toc491439693 \h </w:instrText>
      </w:r>
      <w:r>
        <w:fldChar w:fldCharType="separate"/>
      </w:r>
      <w:r>
        <w:t>3</w:t>
      </w:r>
      <w:r>
        <w:fldChar w:fldCharType="end"/>
      </w:r>
    </w:p>
    <w:p w14:paraId="53303688" w14:textId="645C5507" w:rsidR="00F3640D" w:rsidRDefault="00F3640D">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_Toc491439694 \h </w:instrText>
      </w:r>
      <w:r>
        <w:fldChar w:fldCharType="separate"/>
      </w:r>
      <w:r>
        <w:t>3</w:t>
      </w:r>
      <w:r>
        <w:fldChar w:fldCharType="end"/>
      </w:r>
    </w:p>
    <w:p w14:paraId="7BA8EC59" w14:textId="2B63F19F" w:rsidR="00F3640D" w:rsidRDefault="00F3640D">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_Toc491439695 \h </w:instrText>
      </w:r>
      <w:r>
        <w:fldChar w:fldCharType="separate"/>
      </w:r>
      <w:r>
        <w:t>3</w:t>
      </w:r>
      <w:r>
        <w:fldChar w:fldCharType="end"/>
      </w:r>
    </w:p>
    <w:p w14:paraId="1A801695" w14:textId="61A0D6BA" w:rsidR="00F3640D" w:rsidRDefault="00F3640D">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_Toc491439696 \h </w:instrText>
      </w:r>
      <w:r>
        <w:fldChar w:fldCharType="separate"/>
      </w:r>
      <w:r>
        <w:t>4</w:t>
      </w:r>
      <w:r>
        <w:fldChar w:fldCharType="end"/>
      </w:r>
    </w:p>
    <w:p w14:paraId="3EEF1C88" w14:textId="173B9F08" w:rsidR="00F3640D" w:rsidRDefault="00F3640D">
      <w:pPr>
        <w:pStyle w:val="TOC2"/>
        <w:rPr>
          <w:rFonts w:asciiTheme="minorHAnsi" w:eastAsiaTheme="minorEastAsia" w:hAnsiTheme="minorHAnsi" w:cstheme="minorBidi"/>
          <w:b w:val="0"/>
          <w:sz w:val="22"/>
          <w:szCs w:val="22"/>
        </w:rPr>
      </w:pPr>
      <w:r>
        <w:t xml:space="preserve">3 </w:t>
      </w:r>
      <w:r>
        <w:rPr>
          <w:rFonts w:asciiTheme="minorHAnsi" w:eastAsiaTheme="minorEastAsia" w:hAnsiTheme="minorHAnsi" w:cstheme="minorBidi"/>
          <w:b w:val="0"/>
          <w:sz w:val="22"/>
          <w:szCs w:val="22"/>
        </w:rPr>
        <w:tab/>
      </w:r>
      <w:r>
        <w:t>Algemene achtergrond</w:t>
      </w:r>
      <w:r>
        <w:tab/>
      </w:r>
      <w:r>
        <w:fldChar w:fldCharType="begin"/>
      </w:r>
      <w:r>
        <w:instrText xml:space="preserve"> PAGEREF _Toc491439697 \h </w:instrText>
      </w:r>
      <w:r>
        <w:fldChar w:fldCharType="separate"/>
      </w:r>
      <w:r>
        <w:t>5</w:t>
      </w:r>
      <w:r>
        <w:fldChar w:fldCharType="end"/>
      </w:r>
    </w:p>
    <w:p w14:paraId="76267567" w14:textId="427A01D1" w:rsidR="00F3640D" w:rsidRDefault="00F3640D">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_Toc491439698 \h </w:instrText>
      </w:r>
      <w:r>
        <w:fldChar w:fldCharType="separate"/>
      </w:r>
      <w:r>
        <w:t>5</w:t>
      </w:r>
      <w:r>
        <w:fldChar w:fldCharType="end"/>
      </w:r>
    </w:p>
    <w:p w14:paraId="3C72F51E" w14:textId="75D4BEA5" w:rsidR="00F3640D" w:rsidRDefault="00F3640D">
      <w:pPr>
        <w:pStyle w:val="TOC3"/>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Organisatie, werkwijze en activiteiten</w:t>
      </w:r>
      <w:r>
        <w:tab/>
      </w:r>
      <w:r>
        <w:fldChar w:fldCharType="begin"/>
      </w:r>
      <w:r>
        <w:instrText xml:space="preserve"> PAGEREF _Toc491439699 \h </w:instrText>
      </w:r>
      <w:r>
        <w:fldChar w:fldCharType="separate"/>
      </w:r>
      <w:r>
        <w:t>5</w:t>
      </w:r>
      <w:r>
        <w:fldChar w:fldCharType="end"/>
      </w:r>
    </w:p>
    <w:p w14:paraId="21324DC0" w14:textId="25D69952" w:rsidR="00F3640D" w:rsidRDefault="00F3640D">
      <w:pPr>
        <w:pStyle w:val="TOC3"/>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Nederlandse rol en invloed</w:t>
      </w:r>
      <w:r>
        <w:tab/>
      </w:r>
      <w:r>
        <w:fldChar w:fldCharType="begin"/>
      </w:r>
      <w:r>
        <w:instrText xml:space="preserve"> PAGEREF _Toc491439700 \h </w:instrText>
      </w:r>
      <w:r>
        <w:fldChar w:fldCharType="separate"/>
      </w:r>
      <w:r>
        <w:t>7</w:t>
      </w:r>
      <w:r>
        <w:fldChar w:fldCharType="end"/>
      </w:r>
    </w:p>
    <w:p w14:paraId="21DD8E07" w14:textId="741FA2B1" w:rsidR="00F3640D" w:rsidRDefault="00F3640D">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_Toc491439701 \h </w:instrText>
      </w:r>
      <w:r>
        <w:fldChar w:fldCharType="separate"/>
      </w:r>
      <w:r>
        <w:t>8</w:t>
      </w:r>
      <w:r>
        <w:fldChar w:fldCharType="end"/>
      </w:r>
    </w:p>
    <w:p w14:paraId="4B9E5CC3" w14:textId="607CF628" w:rsidR="00F3640D" w:rsidRDefault="00F3640D">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_Toc491439702 \h </w:instrText>
      </w:r>
      <w:r>
        <w:fldChar w:fldCharType="separate"/>
      </w:r>
      <w:r>
        <w:t>11</w:t>
      </w:r>
      <w:r>
        <w:fldChar w:fldCharType="end"/>
      </w:r>
    </w:p>
    <w:p w14:paraId="155983DA" w14:textId="2199F693" w:rsidR="00F3640D" w:rsidRDefault="00F3640D">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_Toc491439703 \h </w:instrText>
      </w:r>
      <w:r>
        <w:fldChar w:fldCharType="separate"/>
      </w:r>
      <w:r>
        <w:t>11</w:t>
      </w:r>
      <w:r>
        <w:fldChar w:fldCharType="end"/>
      </w:r>
    </w:p>
    <w:p w14:paraId="262401F6" w14:textId="6DF3CC0C" w:rsidR="00F3640D" w:rsidRDefault="00F3640D">
      <w:pPr>
        <w:pStyle w:val="TOC3"/>
        <w:rPr>
          <w:rFonts w:asciiTheme="minorHAnsi" w:eastAsiaTheme="minorEastAsia" w:hAnsiTheme="minorHAnsi" w:cstheme="minorBidi"/>
          <w:sz w:val="22"/>
          <w:szCs w:val="22"/>
        </w:rPr>
      </w:pPr>
      <w:r w:rsidRPr="00F3640D">
        <w:t>4.2</w:t>
      </w:r>
      <w:r>
        <w:rPr>
          <w:rFonts w:asciiTheme="minorHAnsi" w:eastAsiaTheme="minorEastAsia" w:hAnsiTheme="minorHAnsi" w:cstheme="minorBidi"/>
          <w:sz w:val="22"/>
          <w:szCs w:val="22"/>
        </w:rPr>
        <w:tab/>
      </w:r>
      <w:r w:rsidRPr="00F3640D">
        <w:t>Resultaatgerichtheid en transparantie</w:t>
      </w:r>
      <w:r>
        <w:tab/>
      </w:r>
      <w:r>
        <w:fldChar w:fldCharType="begin"/>
      </w:r>
      <w:r>
        <w:instrText xml:space="preserve"> PAGEREF _Toc491439704 \h </w:instrText>
      </w:r>
      <w:r>
        <w:fldChar w:fldCharType="separate"/>
      </w:r>
      <w:r>
        <w:t>12</w:t>
      </w:r>
      <w:r>
        <w:fldChar w:fldCharType="end"/>
      </w:r>
    </w:p>
    <w:p w14:paraId="4E6C03F2" w14:textId="5E33385F" w:rsidR="00F3640D" w:rsidRDefault="00F3640D">
      <w:pPr>
        <w:pStyle w:val="TOC3"/>
        <w:rPr>
          <w:rFonts w:asciiTheme="minorHAnsi" w:eastAsiaTheme="minorEastAsia" w:hAnsiTheme="minorHAnsi" w:cstheme="minorBidi"/>
          <w:sz w:val="22"/>
          <w:szCs w:val="22"/>
        </w:rPr>
      </w:pPr>
      <w:r w:rsidRPr="00F3640D">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_Toc491439705 \h </w:instrText>
      </w:r>
      <w:r>
        <w:fldChar w:fldCharType="separate"/>
      </w:r>
      <w:r>
        <w:t>13</w:t>
      </w:r>
      <w:r>
        <w:fldChar w:fldCharType="end"/>
      </w:r>
    </w:p>
    <w:p w14:paraId="20E042FE" w14:textId="67C23AC3" w:rsidR="00F3640D" w:rsidRDefault="00F3640D">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_Toc491439706 \h </w:instrText>
      </w:r>
      <w:r>
        <w:fldChar w:fldCharType="separate"/>
      </w:r>
      <w:r>
        <w:t>14</w:t>
      </w:r>
      <w:r>
        <w:fldChar w:fldCharType="end"/>
      </w:r>
    </w:p>
    <w:p w14:paraId="5676C936" w14:textId="096BDE8D" w:rsidR="00F3640D" w:rsidRDefault="00F3640D">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_Toc491439707 \h </w:instrText>
      </w:r>
      <w:r>
        <w:fldChar w:fldCharType="separate"/>
      </w:r>
      <w:r>
        <w:t>15</w:t>
      </w:r>
      <w:r>
        <w:fldChar w:fldCharType="end"/>
      </w:r>
    </w:p>
    <w:p w14:paraId="26120CA3" w14:textId="656EA89D" w:rsidR="00F3640D" w:rsidRDefault="00F3640D">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_Toc491439708 \h </w:instrText>
      </w:r>
      <w:r>
        <w:fldChar w:fldCharType="separate"/>
      </w:r>
      <w:r>
        <w:t>16</w:t>
      </w:r>
      <w:r>
        <w:fldChar w:fldCharType="end"/>
      </w:r>
    </w:p>
    <w:p w14:paraId="1D7B91E6" w14:textId="7CB9AEA3" w:rsidR="00F3640D" w:rsidRDefault="00F3640D">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_Toc491439709 \h </w:instrText>
      </w:r>
      <w:r>
        <w:fldChar w:fldCharType="separate"/>
      </w:r>
      <w:r>
        <w:t>17</w:t>
      </w:r>
      <w:r>
        <w:fldChar w:fldCharType="end"/>
      </w:r>
    </w:p>
    <w:p w14:paraId="2898DF60" w14:textId="4E25AF3B" w:rsidR="00F3640D" w:rsidRDefault="00F3640D">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_Toc491439710 \h </w:instrText>
      </w:r>
      <w:r>
        <w:fldChar w:fldCharType="separate"/>
      </w:r>
      <w:r>
        <w:t>17</w:t>
      </w:r>
      <w:r>
        <w:fldChar w:fldCharType="end"/>
      </w:r>
    </w:p>
    <w:p w14:paraId="0BBE2FE8" w14:textId="149AC6AC" w:rsidR="00F3640D" w:rsidRDefault="00F3640D">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_Toc491439711 \h </w:instrText>
      </w:r>
      <w:r>
        <w:fldChar w:fldCharType="separate"/>
      </w:r>
      <w:r>
        <w:t>18</w:t>
      </w:r>
      <w:r>
        <w:fldChar w:fldCharType="end"/>
      </w:r>
    </w:p>
    <w:p w14:paraId="1A409C71" w14:textId="10566DE8" w:rsidR="00F3640D" w:rsidRDefault="00F3640D">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_Toc491439712 \h </w:instrText>
      </w:r>
      <w:r>
        <w:fldChar w:fldCharType="separate"/>
      </w:r>
      <w:r>
        <w:t>20</w:t>
      </w:r>
      <w:r>
        <w:fldChar w:fldCharType="end"/>
      </w:r>
    </w:p>
    <w:p w14:paraId="3BBE67A1" w14:textId="2EAC3885" w:rsidR="00F3640D" w:rsidRDefault="00F3640D">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_Toc491439713 \h </w:instrText>
      </w:r>
      <w:r>
        <w:fldChar w:fldCharType="separate"/>
      </w:r>
      <w:r>
        <w:t>20</w:t>
      </w:r>
      <w:r>
        <w:fldChar w:fldCharType="end"/>
      </w:r>
    </w:p>
    <w:p w14:paraId="129A5765" w14:textId="67E641A7" w:rsidR="00F3640D" w:rsidRDefault="00F3640D">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_Toc491439714 \h </w:instrText>
      </w:r>
      <w:r>
        <w:fldChar w:fldCharType="separate"/>
      </w:r>
      <w:r>
        <w:t>21</w:t>
      </w:r>
      <w:r>
        <w:fldChar w:fldCharType="end"/>
      </w:r>
    </w:p>
    <w:p w14:paraId="3D10B457" w14:textId="0D02105E" w:rsidR="00261F77" w:rsidRPr="00290657" w:rsidRDefault="00501C53" w:rsidP="0014161D">
      <w:pPr>
        <w:pStyle w:val="TOC3"/>
        <w:rPr>
          <w:rFonts w:ascii="Calibri" w:hAnsi="Calibri"/>
          <w:sz w:val="22"/>
          <w:szCs w:val="22"/>
        </w:rPr>
      </w:pPr>
      <w:r w:rsidRPr="00785F18">
        <w:fldChar w:fldCharType="end"/>
      </w:r>
    </w:p>
    <w:p w14:paraId="3D10B458" w14:textId="77777777" w:rsidR="00101F98" w:rsidRPr="00785F18" w:rsidRDefault="00101F98" w:rsidP="00163FA2">
      <w:pPr>
        <w:tabs>
          <w:tab w:val="left" w:pos="0"/>
        </w:tabs>
      </w:pPr>
    </w:p>
    <w:p w14:paraId="3D10B459" w14:textId="77777777" w:rsidR="00A908F9" w:rsidRDefault="00A908F9" w:rsidP="00101F98"/>
    <w:p w14:paraId="3D10B45A" w14:textId="77777777" w:rsidR="00A908F9" w:rsidRPr="00A908F9" w:rsidRDefault="00A908F9" w:rsidP="00A908F9"/>
    <w:p w14:paraId="3D10B45B" w14:textId="77777777" w:rsidR="00A908F9" w:rsidRPr="00A908F9" w:rsidRDefault="00A908F9" w:rsidP="00A908F9"/>
    <w:p w14:paraId="3D10B45C" w14:textId="77777777" w:rsidR="00A908F9" w:rsidRDefault="00A908F9" w:rsidP="00A908F9">
      <w:pPr>
        <w:jc w:val="center"/>
      </w:pPr>
      <w:bookmarkStart w:id="12" w:name="_GoBack"/>
      <w:bookmarkEnd w:id="12"/>
    </w:p>
    <w:p w14:paraId="3D10B45D" w14:textId="77777777" w:rsidR="00101F98" w:rsidRPr="00A908F9" w:rsidRDefault="00101F98" w:rsidP="00A908F9">
      <w:pPr>
        <w:sectPr w:rsidR="00101F98" w:rsidRPr="00A908F9" w:rsidSect="00EE1B9E">
          <w:headerReference w:type="first" r:id="rId18"/>
          <w:type w:val="continuous"/>
          <w:pgSz w:w="11906" w:h="16838" w:code="9"/>
          <w:pgMar w:top="2520" w:right="960" w:bottom="1080" w:left="3220" w:header="200" w:footer="660" w:gutter="0"/>
          <w:cols w:space="708"/>
          <w:titlePg/>
          <w:docGrid w:linePitch="360"/>
        </w:sectPr>
      </w:pPr>
    </w:p>
    <w:p w14:paraId="4D3327C8" w14:textId="52377C4B" w:rsidR="00633895" w:rsidRDefault="00734374" w:rsidP="00633895">
      <w:pPr>
        <w:pStyle w:val="Heading1"/>
        <w:tabs>
          <w:tab w:val="num" w:pos="0"/>
        </w:tabs>
        <w:spacing w:after="240" w:line="240" w:lineRule="auto"/>
        <w:ind w:hanging="1162"/>
      </w:pPr>
      <w:bookmarkStart w:id="13" w:name="_Toc238533654"/>
      <w:bookmarkStart w:id="14" w:name="_Toc238537583"/>
      <w:bookmarkStart w:id="15" w:name="_Toc238538136"/>
      <w:bookmarkStart w:id="16" w:name="_Toc238538151"/>
      <w:bookmarkStart w:id="17" w:name="_Toc300822504"/>
      <w:bookmarkStart w:id="18" w:name="_Toc491439693"/>
      <w:bookmarkEnd w:id="13"/>
      <w:bookmarkEnd w:id="14"/>
      <w:bookmarkEnd w:id="15"/>
      <w:bookmarkEnd w:id="16"/>
      <w:r w:rsidRPr="00734374">
        <w:lastRenderedPageBreak/>
        <w:t>1</w:t>
      </w:r>
      <w:r w:rsidR="00633895">
        <w:tab/>
        <w:t>Samenvatting</w:t>
      </w:r>
      <w:bookmarkEnd w:id="18"/>
    </w:p>
    <w:p w14:paraId="3E89FD92" w14:textId="64988AB4" w:rsidR="00633895" w:rsidRDefault="00633895" w:rsidP="00633895">
      <w:pPr>
        <w:pStyle w:val="Heading2"/>
        <w:tabs>
          <w:tab w:val="left" w:pos="-1162"/>
          <w:tab w:val="left" w:pos="0"/>
          <w:tab w:val="num" w:pos="1160"/>
        </w:tabs>
        <w:spacing w:line="240" w:lineRule="auto"/>
        <w:ind w:hanging="1162"/>
      </w:pPr>
      <w:bookmarkStart w:id="19" w:name="_Toc491439694"/>
      <w:r>
        <w:t xml:space="preserve">1.1 </w:t>
      </w:r>
      <w:r>
        <w:tab/>
        <w:t>Institutionele aspecten en functioneren</w:t>
      </w:r>
      <w:bookmarkEnd w:id="19"/>
    </w:p>
    <w:p w14:paraId="4ED1A2AE" w14:textId="22F3BE1E" w:rsidR="00633895" w:rsidRDefault="00CC6BEA" w:rsidP="00633895">
      <w:proofErr w:type="spellStart"/>
      <w:r>
        <w:t>OCHA’s</w:t>
      </w:r>
      <w:proofErr w:type="spellEnd"/>
      <w:r>
        <w:t xml:space="preserve"> toegevoegde </w:t>
      </w:r>
      <w:r w:rsidR="00D872C9">
        <w:t>waarde voor</w:t>
      </w:r>
      <w:r>
        <w:t xml:space="preserve"> het humanitaire systeem, met als kernmandaat het coördineren en mobiliseren van effectieve, op humanitaire principes gebaseerde humanitaire hulpverlening, </w:t>
      </w:r>
      <w:r w:rsidR="00D872C9">
        <w:t xml:space="preserve">wordt breed erkend en staat niet ter discussie. </w:t>
      </w:r>
      <w:r w:rsidR="003F5164">
        <w:t xml:space="preserve">Wel verkeert </w:t>
      </w:r>
      <w:r w:rsidR="00D872C9">
        <w:t xml:space="preserve">OCHA momenteel in een transitieperiode, aangezwengeld door de organisatiedoorlichting in 2016 die een aantal tekortkomingen </w:t>
      </w:r>
      <w:r w:rsidR="0084251E">
        <w:t xml:space="preserve">liet zien </w:t>
      </w:r>
      <w:r w:rsidR="00D872C9">
        <w:t>in de organisatie, het management en het strategisch denken, alsmede door de budgettaire krapte</w:t>
      </w:r>
      <w:r w:rsidR="004E6E44">
        <w:t xml:space="preserve"> van de afgelopen periode</w:t>
      </w:r>
      <w:r w:rsidR="00D872C9">
        <w:t>, met name veroorzaakt door de steeds hogere eisen die aan de organisatie gesteld worden als gevolg van de toegenomen humanitaire noden in de wereld.</w:t>
      </w:r>
      <w:r w:rsidR="0084251E">
        <w:t xml:space="preserve"> Mede onder druk van donoren als Nederland worden deze aspecten momenteel door OCHA </w:t>
      </w:r>
      <w:r w:rsidR="003F5164">
        <w:t>voortvarend aangepakt.</w:t>
      </w:r>
    </w:p>
    <w:p w14:paraId="2A8D822E" w14:textId="77777777" w:rsidR="00CC6BEA" w:rsidRDefault="00CC6BEA" w:rsidP="00633895"/>
    <w:tbl>
      <w:tblP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9"/>
        <w:gridCol w:w="841"/>
        <w:gridCol w:w="1460"/>
      </w:tblGrid>
      <w:tr w:rsidR="00633895" w14:paraId="4753B9CD" w14:textId="77777777" w:rsidTr="00AE6D8C">
        <w:tc>
          <w:tcPr>
            <w:tcW w:w="5349" w:type="dxa"/>
            <w:tcBorders>
              <w:top w:val="single" w:sz="12" w:space="0" w:color="auto"/>
              <w:left w:val="single" w:sz="12" w:space="0" w:color="auto"/>
              <w:bottom w:val="single" w:sz="12" w:space="0" w:color="auto"/>
              <w:right w:val="single" w:sz="4" w:space="0" w:color="auto"/>
            </w:tcBorders>
            <w:shd w:val="clear" w:color="auto" w:fill="BFBFBF" w:themeFill="background1" w:themeFillShade="BF"/>
          </w:tcPr>
          <w:p w14:paraId="43E3B749" w14:textId="7C7EACDA" w:rsidR="00633895" w:rsidRDefault="00633895" w:rsidP="00633895">
            <w:r w:rsidRPr="008F1B70">
              <w:rPr>
                <w:b/>
              </w:rPr>
              <w:t xml:space="preserve">Institutionele aspecten </w:t>
            </w:r>
            <w:r>
              <w:rPr>
                <w:b/>
              </w:rPr>
              <w:t>en functioneren</w:t>
            </w:r>
          </w:p>
        </w:tc>
        <w:tc>
          <w:tcPr>
            <w:tcW w:w="841" w:type="dxa"/>
            <w:tcBorders>
              <w:top w:val="single" w:sz="12" w:space="0" w:color="auto"/>
              <w:left w:val="single" w:sz="4" w:space="0" w:color="auto"/>
              <w:bottom w:val="single" w:sz="12" w:space="0" w:color="auto"/>
              <w:right w:val="single" w:sz="4" w:space="0" w:color="auto"/>
            </w:tcBorders>
            <w:shd w:val="clear" w:color="auto" w:fill="BFBFBF" w:themeFill="background1" w:themeFillShade="BF"/>
          </w:tcPr>
          <w:p w14:paraId="11FB33C1" w14:textId="77777777" w:rsidR="00633895" w:rsidRDefault="00633895" w:rsidP="00633895">
            <w:r>
              <w:t>Score</w:t>
            </w:r>
          </w:p>
        </w:tc>
        <w:tc>
          <w:tcPr>
            <w:tcW w:w="1460" w:type="dxa"/>
            <w:tcBorders>
              <w:top w:val="single" w:sz="12" w:space="0" w:color="auto"/>
              <w:left w:val="single" w:sz="4" w:space="0" w:color="auto"/>
              <w:bottom w:val="single" w:sz="12" w:space="0" w:color="auto"/>
              <w:right w:val="single" w:sz="12" w:space="0" w:color="auto"/>
            </w:tcBorders>
            <w:shd w:val="clear" w:color="auto" w:fill="BFBFBF" w:themeFill="background1" w:themeFillShade="BF"/>
          </w:tcPr>
          <w:p w14:paraId="6CFD2A7C" w14:textId="77777777" w:rsidR="00633895" w:rsidRDefault="00633895" w:rsidP="00633895">
            <w:r>
              <w:t>Verandering</w:t>
            </w:r>
          </w:p>
        </w:tc>
      </w:tr>
      <w:tr w:rsidR="00633895" w14:paraId="18280194" w14:textId="77777777" w:rsidTr="007F523D">
        <w:tc>
          <w:tcPr>
            <w:tcW w:w="5349" w:type="dxa"/>
            <w:tcBorders>
              <w:top w:val="single" w:sz="12" w:space="0" w:color="auto"/>
              <w:left w:val="single" w:sz="12" w:space="0" w:color="auto"/>
            </w:tcBorders>
            <w:shd w:val="clear" w:color="auto" w:fill="auto"/>
          </w:tcPr>
          <w:p w14:paraId="79158A14" w14:textId="77777777" w:rsidR="00633895" w:rsidRPr="00C26035" w:rsidRDefault="00633895" w:rsidP="00633895">
            <w:r>
              <w:t>Strategie en verantwoording</w:t>
            </w:r>
            <w:r w:rsidRPr="00C26035">
              <w:t xml:space="preserve"> </w:t>
            </w:r>
          </w:p>
        </w:tc>
        <w:tc>
          <w:tcPr>
            <w:tcW w:w="841" w:type="dxa"/>
            <w:tcBorders>
              <w:top w:val="single" w:sz="12" w:space="0" w:color="auto"/>
            </w:tcBorders>
            <w:shd w:val="clear" w:color="auto" w:fill="auto"/>
            <w:vAlign w:val="center"/>
          </w:tcPr>
          <w:p w14:paraId="4A5F07B1" w14:textId="77777777" w:rsidR="00633895" w:rsidRDefault="00633895" w:rsidP="00633895">
            <w:pPr>
              <w:jc w:val="center"/>
            </w:pPr>
            <w:r>
              <w:t>3</w:t>
            </w:r>
          </w:p>
        </w:tc>
        <w:tc>
          <w:tcPr>
            <w:tcW w:w="1460" w:type="dxa"/>
            <w:tcBorders>
              <w:top w:val="single" w:sz="12" w:space="0" w:color="auto"/>
              <w:right w:val="single" w:sz="12" w:space="0" w:color="auto"/>
            </w:tcBorders>
            <w:shd w:val="clear" w:color="auto" w:fill="auto"/>
            <w:vAlign w:val="center"/>
          </w:tcPr>
          <w:p w14:paraId="3AB6F6D4" w14:textId="77777777" w:rsidR="00633895" w:rsidRDefault="00633895" w:rsidP="00633895">
            <w:pPr>
              <w:jc w:val="center"/>
            </w:pPr>
            <w:r w:rsidRPr="00193994">
              <w:sym w:font="Wingdings" w:char="F0E8"/>
            </w:r>
          </w:p>
        </w:tc>
      </w:tr>
      <w:tr w:rsidR="00633895" w14:paraId="611656DB" w14:textId="77777777" w:rsidTr="007F523D">
        <w:tc>
          <w:tcPr>
            <w:tcW w:w="5349" w:type="dxa"/>
            <w:tcBorders>
              <w:left w:val="single" w:sz="12" w:space="0" w:color="auto"/>
            </w:tcBorders>
            <w:shd w:val="clear" w:color="auto" w:fill="auto"/>
          </w:tcPr>
          <w:p w14:paraId="64A0D2EF" w14:textId="77777777" w:rsidR="00633895" w:rsidRDefault="00633895" w:rsidP="00633895">
            <w:r>
              <w:t>Resultaatgerichtheid en transparantie</w:t>
            </w:r>
          </w:p>
        </w:tc>
        <w:tc>
          <w:tcPr>
            <w:tcW w:w="841" w:type="dxa"/>
            <w:shd w:val="clear" w:color="auto" w:fill="auto"/>
            <w:vAlign w:val="center"/>
          </w:tcPr>
          <w:p w14:paraId="08C900A8" w14:textId="77777777" w:rsidR="00633895" w:rsidRDefault="00633895" w:rsidP="00633895">
            <w:pPr>
              <w:jc w:val="center"/>
            </w:pPr>
            <w:r>
              <w:t>2</w:t>
            </w:r>
          </w:p>
        </w:tc>
        <w:tc>
          <w:tcPr>
            <w:tcW w:w="1460" w:type="dxa"/>
            <w:tcBorders>
              <w:right w:val="single" w:sz="12" w:space="0" w:color="auto"/>
            </w:tcBorders>
            <w:shd w:val="clear" w:color="auto" w:fill="auto"/>
            <w:vAlign w:val="center"/>
          </w:tcPr>
          <w:p w14:paraId="222ADABD" w14:textId="77777777" w:rsidR="00633895" w:rsidRDefault="00633895" w:rsidP="00633895">
            <w:pPr>
              <w:jc w:val="center"/>
            </w:pPr>
            <w:r w:rsidRPr="00193994">
              <w:sym w:font="Wingdings" w:char="F0E8"/>
            </w:r>
          </w:p>
        </w:tc>
      </w:tr>
      <w:tr w:rsidR="00633895" w14:paraId="0EB8C90D" w14:textId="77777777" w:rsidTr="007F523D">
        <w:tc>
          <w:tcPr>
            <w:tcW w:w="5349" w:type="dxa"/>
            <w:tcBorders>
              <w:left w:val="single" w:sz="12" w:space="0" w:color="auto"/>
            </w:tcBorders>
            <w:shd w:val="clear" w:color="auto" w:fill="auto"/>
          </w:tcPr>
          <w:p w14:paraId="259B0E87" w14:textId="77777777" w:rsidR="00633895" w:rsidRDefault="00633895" w:rsidP="00633895">
            <w:r>
              <w:t xml:space="preserve">Partnerschappen en samenwerking </w:t>
            </w:r>
          </w:p>
        </w:tc>
        <w:tc>
          <w:tcPr>
            <w:tcW w:w="841" w:type="dxa"/>
            <w:shd w:val="clear" w:color="auto" w:fill="auto"/>
            <w:vAlign w:val="center"/>
          </w:tcPr>
          <w:p w14:paraId="48891F6B" w14:textId="77777777" w:rsidR="00633895" w:rsidRDefault="00633895" w:rsidP="00633895">
            <w:pPr>
              <w:jc w:val="center"/>
            </w:pPr>
            <w:r>
              <w:t>4</w:t>
            </w:r>
          </w:p>
        </w:tc>
        <w:tc>
          <w:tcPr>
            <w:tcW w:w="1460" w:type="dxa"/>
            <w:tcBorders>
              <w:right w:val="single" w:sz="12" w:space="0" w:color="auto"/>
            </w:tcBorders>
            <w:shd w:val="clear" w:color="auto" w:fill="auto"/>
            <w:vAlign w:val="center"/>
          </w:tcPr>
          <w:p w14:paraId="4F87258F" w14:textId="77777777" w:rsidR="00633895" w:rsidRDefault="00633895" w:rsidP="00633895">
            <w:pPr>
              <w:jc w:val="center"/>
            </w:pPr>
            <w:r w:rsidRPr="00193994">
              <w:sym w:font="Wingdings" w:char="F0E8"/>
            </w:r>
          </w:p>
        </w:tc>
      </w:tr>
      <w:tr w:rsidR="00633895" w14:paraId="680E16B6" w14:textId="77777777" w:rsidTr="007F523D">
        <w:tc>
          <w:tcPr>
            <w:tcW w:w="5349" w:type="dxa"/>
            <w:tcBorders>
              <w:left w:val="single" w:sz="12" w:space="0" w:color="auto"/>
            </w:tcBorders>
            <w:shd w:val="clear" w:color="auto" w:fill="auto"/>
          </w:tcPr>
          <w:p w14:paraId="0FB087C1" w14:textId="77777777" w:rsidR="00633895" w:rsidRPr="00C26035" w:rsidRDefault="00633895" w:rsidP="00633895">
            <w:r>
              <w:t>Operationeel management</w:t>
            </w:r>
          </w:p>
        </w:tc>
        <w:tc>
          <w:tcPr>
            <w:tcW w:w="841" w:type="dxa"/>
            <w:shd w:val="clear" w:color="auto" w:fill="auto"/>
            <w:vAlign w:val="center"/>
          </w:tcPr>
          <w:p w14:paraId="0254A38D" w14:textId="77777777" w:rsidR="00633895" w:rsidRDefault="00633895" w:rsidP="00633895">
            <w:pPr>
              <w:jc w:val="center"/>
            </w:pPr>
            <w:r>
              <w:t>3</w:t>
            </w:r>
          </w:p>
        </w:tc>
        <w:tc>
          <w:tcPr>
            <w:tcW w:w="1460" w:type="dxa"/>
            <w:tcBorders>
              <w:right w:val="single" w:sz="12" w:space="0" w:color="auto"/>
            </w:tcBorders>
            <w:shd w:val="clear" w:color="auto" w:fill="auto"/>
            <w:vAlign w:val="center"/>
          </w:tcPr>
          <w:p w14:paraId="041300B0" w14:textId="16E3C83A" w:rsidR="00633895" w:rsidRDefault="003F5164" w:rsidP="00633895">
            <w:pPr>
              <w:jc w:val="center"/>
            </w:pPr>
            <w:r w:rsidRPr="00193994">
              <w:sym w:font="Wingdings" w:char="F0E8"/>
            </w:r>
          </w:p>
        </w:tc>
      </w:tr>
      <w:tr w:rsidR="00633895" w14:paraId="3719B32D" w14:textId="77777777" w:rsidTr="007F523D">
        <w:tc>
          <w:tcPr>
            <w:tcW w:w="5349" w:type="dxa"/>
            <w:tcBorders>
              <w:left w:val="single" w:sz="12" w:space="0" w:color="auto"/>
            </w:tcBorders>
            <w:shd w:val="clear" w:color="auto" w:fill="auto"/>
          </w:tcPr>
          <w:p w14:paraId="72D95C92" w14:textId="77777777" w:rsidR="00633895" w:rsidRPr="00C26035" w:rsidRDefault="00633895" w:rsidP="00633895">
            <w:r>
              <w:t>Beleidsevaluatie</w:t>
            </w:r>
          </w:p>
        </w:tc>
        <w:tc>
          <w:tcPr>
            <w:tcW w:w="841" w:type="dxa"/>
            <w:shd w:val="clear" w:color="auto" w:fill="auto"/>
            <w:vAlign w:val="center"/>
          </w:tcPr>
          <w:p w14:paraId="17C150D7" w14:textId="46133E31" w:rsidR="00633895" w:rsidRDefault="006A4167" w:rsidP="00633895">
            <w:pPr>
              <w:jc w:val="center"/>
            </w:pPr>
            <w:r>
              <w:t>3</w:t>
            </w:r>
          </w:p>
        </w:tc>
        <w:tc>
          <w:tcPr>
            <w:tcW w:w="1460" w:type="dxa"/>
            <w:tcBorders>
              <w:right w:val="single" w:sz="12" w:space="0" w:color="auto"/>
            </w:tcBorders>
            <w:shd w:val="clear" w:color="auto" w:fill="auto"/>
            <w:vAlign w:val="center"/>
          </w:tcPr>
          <w:p w14:paraId="6E470F0F" w14:textId="34013102" w:rsidR="00633895" w:rsidRDefault="006A4167" w:rsidP="006A4167">
            <w:pPr>
              <w:jc w:val="center"/>
            </w:pPr>
            <w:r w:rsidRPr="00193994">
              <w:sym w:font="Wingdings" w:char="F0E8"/>
            </w:r>
          </w:p>
        </w:tc>
      </w:tr>
      <w:tr w:rsidR="00633895" w14:paraId="78755479" w14:textId="77777777" w:rsidTr="007F523D">
        <w:tc>
          <w:tcPr>
            <w:tcW w:w="5349" w:type="dxa"/>
            <w:tcBorders>
              <w:left w:val="single" w:sz="12" w:space="0" w:color="auto"/>
            </w:tcBorders>
            <w:shd w:val="clear" w:color="auto" w:fill="auto"/>
          </w:tcPr>
          <w:p w14:paraId="2372C1F9" w14:textId="77777777" w:rsidR="00633895" w:rsidRPr="00C26035" w:rsidRDefault="00633895" w:rsidP="00633895">
            <w:r w:rsidRPr="00C26035">
              <w:t>Human Resource Management</w:t>
            </w:r>
          </w:p>
        </w:tc>
        <w:tc>
          <w:tcPr>
            <w:tcW w:w="841" w:type="dxa"/>
            <w:shd w:val="clear" w:color="auto" w:fill="auto"/>
            <w:vAlign w:val="center"/>
          </w:tcPr>
          <w:p w14:paraId="04883637" w14:textId="77777777" w:rsidR="00633895" w:rsidRDefault="00633895" w:rsidP="00633895">
            <w:pPr>
              <w:jc w:val="center"/>
            </w:pPr>
            <w:r>
              <w:t>2</w:t>
            </w:r>
          </w:p>
        </w:tc>
        <w:tc>
          <w:tcPr>
            <w:tcW w:w="1460" w:type="dxa"/>
            <w:tcBorders>
              <w:right w:val="single" w:sz="12" w:space="0" w:color="auto"/>
            </w:tcBorders>
            <w:shd w:val="clear" w:color="auto" w:fill="auto"/>
            <w:vAlign w:val="center"/>
          </w:tcPr>
          <w:p w14:paraId="78949DC4" w14:textId="77777777" w:rsidR="00633895" w:rsidRPr="00B13344" w:rsidRDefault="00633895" w:rsidP="00633895">
            <w:pPr>
              <w:jc w:val="center"/>
              <w:rPr>
                <w:b/>
              </w:rPr>
            </w:pPr>
            <w:r w:rsidRPr="00B13344">
              <w:rPr>
                <w:b/>
              </w:rPr>
              <w:sym w:font="Wingdings" w:char="F0EA"/>
            </w:r>
          </w:p>
        </w:tc>
      </w:tr>
      <w:tr w:rsidR="00633895" w14:paraId="49159FBF" w14:textId="77777777" w:rsidTr="007F523D">
        <w:tc>
          <w:tcPr>
            <w:tcW w:w="5349" w:type="dxa"/>
            <w:tcBorders>
              <w:left w:val="single" w:sz="12" w:space="0" w:color="auto"/>
            </w:tcBorders>
            <w:shd w:val="clear" w:color="auto" w:fill="auto"/>
          </w:tcPr>
          <w:p w14:paraId="7089278F" w14:textId="77777777" w:rsidR="00633895" w:rsidRPr="00445FEE" w:rsidRDefault="00633895" w:rsidP="00633895">
            <w:r w:rsidRPr="00445FEE">
              <w:t xml:space="preserve">Financiële </w:t>
            </w:r>
            <w:r>
              <w:t>stabiliteit</w:t>
            </w:r>
          </w:p>
        </w:tc>
        <w:tc>
          <w:tcPr>
            <w:tcW w:w="841" w:type="dxa"/>
            <w:shd w:val="clear" w:color="auto" w:fill="auto"/>
            <w:vAlign w:val="center"/>
          </w:tcPr>
          <w:p w14:paraId="58BF7975" w14:textId="52AD4CB3" w:rsidR="00633895" w:rsidRDefault="00D85684" w:rsidP="00633895">
            <w:pPr>
              <w:jc w:val="center"/>
            </w:pPr>
            <w:r>
              <w:t>3</w:t>
            </w:r>
          </w:p>
        </w:tc>
        <w:tc>
          <w:tcPr>
            <w:tcW w:w="1460" w:type="dxa"/>
            <w:tcBorders>
              <w:right w:val="single" w:sz="12" w:space="0" w:color="auto"/>
            </w:tcBorders>
            <w:shd w:val="clear" w:color="auto" w:fill="auto"/>
            <w:vAlign w:val="center"/>
          </w:tcPr>
          <w:p w14:paraId="44A3558B" w14:textId="051B9E05" w:rsidR="00633895" w:rsidRPr="00B13344" w:rsidRDefault="00D85684" w:rsidP="00D85684">
            <w:pPr>
              <w:jc w:val="center"/>
              <w:rPr>
                <w:rFonts w:ascii="Segoe UI Emoji" w:eastAsia="Segoe UI Emoji" w:hAnsi="Segoe UI Emoji" w:cs="Segoe UI Emoji"/>
                <w:b/>
              </w:rPr>
            </w:pPr>
            <w:r w:rsidRPr="00193994">
              <w:sym w:font="Wingdings" w:char="F0E8"/>
            </w:r>
          </w:p>
        </w:tc>
      </w:tr>
      <w:tr w:rsidR="00633895" w14:paraId="0D840C23" w14:textId="77777777" w:rsidTr="007F523D">
        <w:tc>
          <w:tcPr>
            <w:tcW w:w="5349" w:type="dxa"/>
            <w:tcBorders>
              <w:left w:val="single" w:sz="12" w:space="0" w:color="auto"/>
            </w:tcBorders>
            <w:shd w:val="clear" w:color="auto" w:fill="auto"/>
          </w:tcPr>
          <w:p w14:paraId="17FB2B75" w14:textId="55257D72" w:rsidR="00633895" w:rsidRPr="00445FEE" w:rsidRDefault="00633895" w:rsidP="00CB1134">
            <w:r>
              <w:t>Kosten</w:t>
            </w:r>
            <w:r w:rsidR="00CB1134">
              <w:t>reductie</w:t>
            </w:r>
          </w:p>
        </w:tc>
        <w:tc>
          <w:tcPr>
            <w:tcW w:w="841" w:type="dxa"/>
            <w:shd w:val="clear" w:color="auto" w:fill="auto"/>
            <w:vAlign w:val="center"/>
          </w:tcPr>
          <w:p w14:paraId="19BED4B0" w14:textId="77777777" w:rsidR="00633895" w:rsidRDefault="00633895" w:rsidP="00633895">
            <w:pPr>
              <w:jc w:val="center"/>
            </w:pPr>
            <w:r>
              <w:t>3</w:t>
            </w:r>
          </w:p>
        </w:tc>
        <w:tc>
          <w:tcPr>
            <w:tcW w:w="1460" w:type="dxa"/>
            <w:tcBorders>
              <w:right w:val="single" w:sz="12" w:space="0" w:color="auto"/>
            </w:tcBorders>
            <w:shd w:val="clear" w:color="auto" w:fill="auto"/>
            <w:vAlign w:val="center"/>
          </w:tcPr>
          <w:p w14:paraId="48F22BB8" w14:textId="77777777" w:rsidR="00633895" w:rsidRDefault="00633895" w:rsidP="00633895">
            <w:pPr>
              <w:jc w:val="center"/>
            </w:pPr>
            <w:r w:rsidRPr="00B13344">
              <w:sym w:font="Wingdings" w:char="F0E9"/>
            </w:r>
          </w:p>
        </w:tc>
      </w:tr>
      <w:tr w:rsidR="00633895" w14:paraId="6B86DB74" w14:textId="77777777" w:rsidTr="007F523D">
        <w:tc>
          <w:tcPr>
            <w:tcW w:w="5349" w:type="dxa"/>
            <w:tcBorders>
              <w:left w:val="single" w:sz="12" w:space="0" w:color="auto"/>
              <w:bottom w:val="single" w:sz="12" w:space="0" w:color="auto"/>
            </w:tcBorders>
            <w:shd w:val="clear" w:color="auto" w:fill="auto"/>
          </w:tcPr>
          <w:p w14:paraId="2759679F" w14:textId="77777777" w:rsidR="00633895" w:rsidRPr="00445FEE" w:rsidRDefault="00633895" w:rsidP="00633895">
            <w:r w:rsidRPr="00445FEE">
              <w:t xml:space="preserve">Corruptiebestrijding </w:t>
            </w:r>
          </w:p>
        </w:tc>
        <w:tc>
          <w:tcPr>
            <w:tcW w:w="841" w:type="dxa"/>
            <w:tcBorders>
              <w:bottom w:val="single" w:sz="12" w:space="0" w:color="auto"/>
            </w:tcBorders>
            <w:shd w:val="clear" w:color="auto" w:fill="auto"/>
            <w:vAlign w:val="center"/>
          </w:tcPr>
          <w:p w14:paraId="2BE90F3C" w14:textId="77777777" w:rsidR="00633895" w:rsidRDefault="00633895" w:rsidP="00633895">
            <w:pPr>
              <w:jc w:val="center"/>
            </w:pPr>
            <w:r>
              <w:t>3</w:t>
            </w:r>
          </w:p>
        </w:tc>
        <w:tc>
          <w:tcPr>
            <w:tcW w:w="1460" w:type="dxa"/>
            <w:tcBorders>
              <w:bottom w:val="single" w:sz="12" w:space="0" w:color="auto"/>
              <w:right w:val="single" w:sz="12" w:space="0" w:color="auto"/>
            </w:tcBorders>
            <w:shd w:val="clear" w:color="auto" w:fill="auto"/>
            <w:vAlign w:val="center"/>
          </w:tcPr>
          <w:p w14:paraId="26FA4DC9" w14:textId="77777777" w:rsidR="00633895" w:rsidRDefault="00633895" w:rsidP="00633895">
            <w:pPr>
              <w:jc w:val="center"/>
            </w:pPr>
            <w:r w:rsidRPr="00193994">
              <w:sym w:font="Wingdings" w:char="F0E8"/>
            </w:r>
          </w:p>
        </w:tc>
      </w:tr>
    </w:tbl>
    <w:p w14:paraId="2F9DDD43" w14:textId="5D97D4B9" w:rsidR="00633895" w:rsidRDefault="00633895" w:rsidP="00633895"/>
    <w:p w14:paraId="3372103A" w14:textId="77777777" w:rsidR="00633895" w:rsidRPr="00193994" w:rsidRDefault="00633895" w:rsidP="00633895">
      <w:pPr>
        <w:ind w:firstLine="227"/>
      </w:pPr>
      <w:r w:rsidRPr="00193994">
        <w:t xml:space="preserve">Beoordeling: </w:t>
      </w:r>
      <w:r>
        <w:t>Onvoldoende = 1, Matig = 2, Voldoende = 3, Goed</w:t>
      </w:r>
      <w:r w:rsidRPr="00193994">
        <w:t xml:space="preserve"> = 4</w:t>
      </w:r>
    </w:p>
    <w:p w14:paraId="39E5513F" w14:textId="77777777" w:rsidR="00633895" w:rsidRDefault="00633895" w:rsidP="00633895">
      <w:pPr>
        <w:ind w:firstLine="227"/>
      </w:pPr>
      <w:r w:rsidRPr="00193994">
        <w:t>Ver</w:t>
      </w:r>
      <w:r>
        <w:t>andering sinds 2015: Neutraal</w:t>
      </w:r>
      <w:r w:rsidRPr="00193994">
        <w:t xml:space="preserve"> = </w:t>
      </w:r>
      <w:r w:rsidRPr="00193994">
        <w:sym w:font="Wingdings" w:char="F0E8"/>
      </w:r>
      <w:r>
        <w:t xml:space="preserve">, Positief = </w:t>
      </w:r>
      <w:r w:rsidRPr="00193994">
        <w:sym w:font="Wingdings" w:char="F0E9"/>
      </w:r>
      <w:r>
        <w:t xml:space="preserve">, Negatief = </w:t>
      </w:r>
      <w:r w:rsidRPr="00DC2083">
        <w:rPr>
          <w:rFonts w:ascii="Segoe UI Emoji" w:eastAsia="Segoe UI Emoji" w:hAnsi="Segoe UI Emoji" w:cs="Segoe UI Emoji"/>
          <w:b/>
          <w:noProof/>
        </w:rPr>
        <w:sym w:font="Wingdings" w:char="F0EA"/>
      </w:r>
    </w:p>
    <w:p w14:paraId="2D6A9F00" w14:textId="77777777" w:rsidR="00633895" w:rsidRPr="00164384" w:rsidRDefault="00633895" w:rsidP="00633895"/>
    <w:p w14:paraId="563E3160" w14:textId="61C70A99" w:rsidR="00633895" w:rsidRDefault="00633895" w:rsidP="00633895">
      <w:pPr>
        <w:pStyle w:val="Heading2"/>
        <w:tabs>
          <w:tab w:val="left" w:pos="-1162"/>
          <w:tab w:val="left" w:pos="0"/>
          <w:tab w:val="num" w:pos="1160"/>
        </w:tabs>
        <w:spacing w:line="240" w:lineRule="auto"/>
        <w:ind w:hanging="1162"/>
      </w:pPr>
      <w:bookmarkStart w:id="20" w:name="_Toc491439695"/>
      <w:r>
        <w:t xml:space="preserve">1.2 </w:t>
      </w:r>
      <w:r>
        <w:tab/>
        <w:t>Beleidsrelevantie</w:t>
      </w:r>
      <w:bookmarkEnd w:id="20"/>
    </w:p>
    <w:p w14:paraId="2C7F87ED" w14:textId="508B6A87" w:rsidR="00226DA5" w:rsidRPr="00145A7D" w:rsidRDefault="00226DA5" w:rsidP="00226DA5">
      <w:pPr>
        <w:rPr>
          <w:i/>
        </w:rPr>
      </w:pPr>
      <w:r w:rsidRPr="00C82739">
        <w:t xml:space="preserve">OCHA </w:t>
      </w:r>
      <w:r>
        <w:t>is opgericht ten behoeve van de coördinatie van humanitaire hulp wereldwijd, en is daarmee</w:t>
      </w:r>
      <w:r w:rsidRPr="005706FB">
        <w:t xml:space="preserve"> </w:t>
      </w:r>
      <w:r>
        <w:t xml:space="preserve">met name </w:t>
      </w:r>
      <w:r w:rsidRPr="005706FB">
        <w:t>relevant v</w:t>
      </w:r>
      <w:r>
        <w:t xml:space="preserve">oor het Nederlandse humanitaire beleid. OCHA speelt daarnaast een belangrijke normerende rol in het humanitaire systeem. </w:t>
      </w:r>
    </w:p>
    <w:p w14:paraId="2BEE8692" w14:textId="77777777" w:rsidR="00226DA5" w:rsidRPr="00226DA5" w:rsidRDefault="00226DA5" w:rsidP="00226D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8"/>
        <w:gridCol w:w="1489"/>
        <w:gridCol w:w="8"/>
        <w:gridCol w:w="1582"/>
        <w:gridCol w:w="1497"/>
      </w:tblGrid>
      <w:tr w:rsidR="00633895" w14:paraId="2A0ADA64" w14:textId="77777777" w:rsidTr="004F36CC">
        <w:tc>
          <w:tcPr>
            <w:tcW w:w="3092"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EBA25DF" w14:textId="77777777" w:rsidR="00633895" w:rsidRDefault="00633895" w:rsidP="00633895">
            <w:pPr>
              <w:jc w:val="right"/>
            </w:pPr>
          </w:p>
        </w:tc>
        <w:tc>
          <w:tcPr>
            <w:tcW w:w="1497" w:type="dxa"/>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64B98DB" w14:textId="77777777" w:rsidR="00633895" w:rsidRPr="00D94DB4" w:rsidRDefault="00633895" w:rsidP="00633895">
            <w:pPr>
              <w:rPr>
                <w:b/>
              </w:rPr>
            </w:pPr>
            <w:r w:rsidRPr="00D94DB4">
              <w:rPr>
                <w:b/>
              </w:rPr>
              <w:t>Uitvoerend</w:t>
            </w:r>
          </w:p>
        </w:tc>
        <w:tc>
          <w:tcPr>
            <w:tcW w:w="149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0D33CFEB" w14:textId="77777777" w:rsidR="00633895" w:rsidRPr="00D94DB4" w:rsidRDefault="00633895" w:rsidP="00633895">
            <w:pPr>
              <w:rPr>
                <w:b/>
              </w:rPr>
            </w:pPr>
            <w:r w:rsidRPr="00D94DB4">
              <w:rPr>
                <w:b/>
              </w:rPr>
              <w:t>Coördinerend</w:t>
            </w:r>
          </w:p>
        </w:tc>
        <w:tc>
          <w:tcPr>
            <w:tcW w:w="1497" w:type="dxa"/>
            <w:tcBorders>
              <w:top w:val="single" w:sz="12" w:space="0" w:color="auto"/>
              <w:left w:val="single" w:sz="12" w:space="0" w:color="auto"/>
              <w:right w:val="single" w:sz="12" w:space="0" w:color="auto"/>
            </w:tcBorders>
            <w:shd w:val="clear" w:color="auto" w:fill="BFBFBF" w:themeFill="background1" w:themeFillShade="BF"/>
          </w:tcPr>
          <w:p w14:paraId="17BC335B" w14:textId="77777777" w:rsidR="00633895" w:rsidRPr="00D94DB4" w:rsidRDefault="00633895" w:rsidP="00633895">
            <w:pPr>
              <w:rPr>
                <w:b/>
              </w:rPr>
            </w:pPr>
            <w:r w:rsidRPr="00D94DB4">
              <w:rPr>
                <w:b/>
              </w:rPr>
              <w:t>Normatief</w:t>
            </w:r>
          </w:p>
        </w:tc>
      </w:tr>
      <w:tr w:rsidR="00633895" w14:paraId="1EDC6ED6" w14:textId="77777777" w:rsidTr="004F36CC">
        <w:tc>
          <w:tcPr>
            <w:tcW w:w="1497" w:type="dxa"/>
            <w:gridSpan w:val="6"/>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C944308" w14:textId="2CF26F40" w:rsidR="00633895" w:rsidRPr="00D94DB4" w:rsidRDefault="00633895" w:rsidP="00633895">
            <w:pPr>
              <w:rPr>
                <w:b/>
              </w:rPr>
            </w:pPr>
            <w:r>
              <w:rPr>
                <w:b/>
              </w:rPr>
              <w:t>Relevantie voor de Nederlandse BHOS-prioriteiten</w:t>
            </w:r>
          </w:p>
        </w:tc>
      </w:tr>
      <w:tr w:rsidR="00633895" w14:paraId="55D487C3" w14:textId="77777777" w:rsidTr="004F36CC">
        <w:tc>
          <w:tcPr>
            <w:tcW w:w="3092" w:type="dxa"/>
            <w:gridSpan w:val="2"/>
            <w:tcBorders>
              <w:top w:val="single" w:sz="12" w:space="0" w:color="auto"/>
              <w:left w:val="single" w:sz="12" w:space="0" w:color="auto"/>
            </w:tcBorders>
            <w:shd w:val="clear" w:color="auto" w:fill="auto"/>
          </w:tcPr>
          <w:p w14:paraId="312D6815" w14:textId="6CAFA8CE" w:rsidR="00975BFB" w:rsidRDefault="00633895" w:rsidP="00633895">
            <w:r>
              <w:t>Gendergelijkheid</w:t>
            </w:r>
          </w:p>
        </w:tc>
        <w:tc>
          <w:tcPr>
            <w:tcW w:w="1497" w:type="dxa"/>
            <w:gridSpan w:val="2"/>
            <w:tcBorders>
              <w:top w:val="single" w:sz="12" w:space="0" w:color="auto"/>
            </w:tcBorders>
            <w:shd w:val="clear" w:color="auto" w:fill="auto"/>
          </w:tcPr>
          <w:p w14:paraId="35FEB257" w14:textId="77777777" w:rsidR="00633895" w:rsidRDefault="00633895" w:rsidP="00D43AB0">
            <w:pPr>
              <w:jc w:val="center"/>
            </w:pPr>
            <w:r>
              <w:t>4</w:t>
            </w:r>
          </w:p>
        </w:tc>
        <w:tc>
          <w:tcPr>
            <w:tcW w:w="1497" w:type="dxa"/>
            <w:tcBorders>
              <w:top w:val="single" w:sz="12" w:space="0" w:color="auto"/>
            </w:tcBorders>
            <w:shd w:val="clear" w:color="auto" w:fill="auto"/>
          </w:tcPr>
          <w:p w14:paraId="070C7CBD" w14:textId="77777777" w:rsidR="00633895" w:rsidRDefault="00633895" w:rsidP="00D43AB0">
            <w:pPr>
              <w:jc w:val="center"/>
            </w:pPr>
            <w:r>
              <w:t>4</w:t>
            </w:r>
          </w:p>
        </w:tc>
        <w:tc>
          <w:tcPr>
            <w:tcW w:w="1497" w:type="dxa"/>
            <w:tcBorders>
              <w:top w:val="single" w:sz="12" w:space="0" w:color="auto"/>
              <w:right w:val="single" w:sz="12" w:space="0" w:color="auto"/>
            </w:tcBorders>
            <w:shd w:val="clear" w:color="auto" w:fill="auto"/>
          </w:tcPr>
          <w:p w14:paraId="051A1CEE" w14:textId="77777777" w:rsidR="00633895" w:rsidRDefault="00633895" w:rsidP="00D43AB0">
            <w:pPr>
              <w:jc w:val="center"/>
            </w:pPr>
            <w:r>
              <w:t>4</w:t>
            </w:r>
          </w:p>
        </w:tc>
      </w:tr>
      <w:tr w:rsidR="00633895" w14:paraId="0BE6F2E4" w14:textId="77777777" w:rsidTr="004F36CC">
        <w:tc>
          <w:tcPr>
            <w:tcW w:w="3092" w:type="dxa"/>
            <w:gridSpan w:val="2"/>
            <w:tcBorders>
              <w:left w:val="single" w:sz="12" w:space="0" w:color="auto"/>
            </w:tcBorders>
            <w:shd w:val="clear" w:color="auto" w:fill="auto"/>
          </w:tcPr>
          <w:p w14:paraId="6899FCB5" w14:textId="6CF980B8" w:rsidR="00975BFB" w:rsidRDefault="00633895" w:rsidP="00633895">
            <w:r>
              <w:t>Humanitaire hulp</w:t>
            </w:r>
          </w:p>
        </w:tc>
        <w:tc>
          <w:tcPr>
            <w:tcW w:w="1497" w:type="dxa"/>
            <w:gridSpan w:val="2"/>
            <w:shd w:val="clear" w:color="auto" w:fill="auto"/>
          </w:tcPr>
          <w:p w14:paraId="76808FC8" w14:textId="77777777" w:rsidR="00633895" w:rsidRDefault="00633895" w:rsidP="00D43AB0">
            <w:pPr>
              <w:jc w:val="center"/>
            </w:pPr>
            <w:r>
              <w:t>4</w:t>
            </w:r>
          </w:p>
        </w:tc>
        <w:tc>
          <w:tcPr>
            <w:tcW w:w="1497" w:type="dxa"/>
            <w:shd w:val="clear" w:color="auto" w:fill="auto"/>
          </w:tcPr>
          <w:p w14:paraId="3D18D84E" w14:textId="77777777" w:rsidR="00633895" w:rsidRDefault="00633895" w:rsidP="00D43AB0">
            <w:pPr>
              <w:jc w:val="center"/>
            </w:pPr>
            <w:r>
              <w:t>4</w:t>
            </w:r>
          </w:p>
        </w:tc>
        <w:tc>
          <w:tcPr>
            <w:tcW w:w="1497" w:type="dxa"/>
            <w:tcBorders>
              <w:right w:val="single" w:sz="12" w:space="0" w:color="auto"/>
            </w:tcBorders>
            <w:shd w:val="clear" w:color="auto" w:fill="auto"/>
          </w:tcPr>
          <w:p w14:paraId="7D2EEA7F" w14:textId="77777777" w:rsidR="00633895" w:rsidRDefault="00633895" w:rsidP="00D43AB0">
            <w:pPr>
              <w:jc w:val="center"/>
            </w:pPr>
            <w:r>
              <w:t>4</w:t>
            </w:r>
          </w:p>
        </w:tc>
      </w:tr>
      <w:tr w:rsidR="003155E3" w14:paraId="3E624057" w14:textId="77777777" w:rsidTr="004F36CC">
        <w:tc>
          <w:tcPr>
            <w:tcW w:w="3092" w:type="dxa"/>
            <w:gridSpan w:val="2"/>
            <w:tcBorders>
              <w:left w:val="single" w:sz="12" w:space="0" w:color="auto"/>
              <w:bottom w:val="single" w:sz="12" w:space="0" w:color="auto"/>
            </w:tcBorders>
            <w:shd w:val="clear" w:color="auto" w:fill="auto"/>
          </w:tcPr>
          <w:p w14:paraId="1A28A4E5" w14:textId="3EC525F3" w:rsidR="00975BFB" w:rsidRDefault="003155E3" w:rsidP="003155E3">
            <w:r>
              <w:t>SRGR</w:t>
            </w:r>
          </w:p>
        </w:tc>
        <w:tc>
          <w:tcPr>
            <w:tcW w:w="1497" w:type="dxa"/>
            <w:gridSpan w:val="2"/>
            <w:tcBorders>
              <w:bottom w:val="single" w:sz="12" w:space="0" w:color="auto"/>
            </w:tcBorders>
            <w:shd w:val="clear" w:color="auto" w:fill="auto"/>
          </w:tcPr>
          <w:p w14:paraId="244A9346" w14:textId="77777777" w:rsidR="003155E3" w:rsidRDefault="003155E3" w:rsidP="00D43AB0">
            <w:pPr>
              <w:jc w:val="center"/>
            </w:pPr>
          </w:p>
        </w:tc>
        <w:tc>
          <w:tcPr>
            <w:tcW w:w="1497" w:type="dxa"/>
            <w:tcBorders>
              <w:bottom w:val="single" w:sz="12" w:space="0" w:color="auto"/>
            </w:tcBorders>
            <w:shd w:val="clear" w:color="auto" w:fill="auto"/>
          </w:tcPr>
          <w:p w14:paraId="5C00B31A" w14:textId="6694A2F4" w:rsidR="003155E3" w:rsidRDefault="003155E3" w:rsidP="00D43AB0">
            <w:pPr>
              <w:jc w:val="center"/>
            </w:pPr>
            <w:r>
              <w:t>3</w:t>
            </w:r>
          </w:p>
        </w:tc>
        <w:tc>
          <w:tcPr>
            <w:tcW w:w="1497" w:type="dxa"/>
            <w:tcBorders>
              <w:bottom w:val="single" w:sz="12" w:space="0" w:color="auto"/>
              <w:right w:val="single" w:sz="12" w:space="0" w:color="auto"/>
            </w:tcBorders>
            <w:shd w:val="clear" w:color="auto" w:fill="auto"/>
          </w:tcPr>
          <w:p w14:paraId="21E3E203" w14:textId="41DB7549" w:rsidR="003155E3" w:rsidRDefault="003155E3" w:rsidP="00D43AB0">
            <w:pPr>
              <w:jc w:val="center"/>
            </w:pPr>
            <w:r>
              <w:t>3</w:t>
            </w:r>
          </w:p>
        </w:tc>
      </w:tr>
      <w:tr w:rsidR="003155E3" w14:paraId="48DB1044" w14:textId="77777777" w:rsidTr="004F36CC">
        <w:trPr>
          <w:trHeight w:val="271"/>
        </w:trPr>
        <w:tc>
          <w:tcPr>
            <w:tcW w:w="1497" w:type="dxa"/>
            <w:gridSpan w:val="6"/>
            <w:tcBorders>
              <w:top w:val="single" w:sz="12" w:space="0" w:color="auto"/>
              <w:left w:val="single" w:sz="12" w:space="0" w:color="auto"/>
              <w:right w:val="single" w:sz="12" w:space="0" w:color="auto"/>
            </w:tcBorders>
            <w:shd w:val="clear" w:color="auto" w:fill="BFBFBF" w:themeFill="background1" w:themeFillShade="BF"/>
          </w:tcPr>
          <w:p w14:paraId="6A93F2EB" w14:textId="400C6D73" w:rsidR="003155E3" w:rsidRDefault="003155E3" w:rsidP="004F36CC">
            <w:r>
              <w:rPr>
                <w:b/>
              </w:rPr>
              <w:t>Overige relevantie</w:t>
            </w:r>
          </w:p>
        </w:tc>
      </w:tr>
      <w:tr w:rsidR="003155E3" w14:paraId="0D859EB6" w14:textId="77777777" w:rsidTr="004F36CC">
        <w:trPr>
          <w:trHeight w:val="53"/>
        </w:trPr>
        <w:tc>
          <w:tcPr>
            <w:tcW w:w="3084" w:type="dxa"/>
            <w:tcBorders>
              <w:top w:val="single" w:sz="12" w:space="0" w:color="auto"/>
              <w:left w:val="single" w:sz="12" w:space="0" w:color="auto"/>
              <w:bottom w:val="single" w:sz="12" w:space="0" w:color="auto"/>
            </w:tcBorders>
            <w:shd w:val="clear" w:color="auto" w:fill="auto"/>
          </w:tcPr>
          <w:p w14:paraId="170BD3F4" w14:textId="0C117D8C" w:rsidR="00975BFB" w:rsidRPr="00C02E0F" w:rsidRDefault="004F36CC" w:rsidP="004F36CC">
            <w:r>
              <w:t>Internationale coördinatie en samenwerking humanitaire hulp</w:t>
            </w:r>
          </w:p>
        </w:tc>
        <w:tc>
          <w:tcPr>
            <w:tcW w:w="1497" w:type="dxa"/>
            <w:gridSpan w:val="2"/>
            <w:tcBorders>
              <w:top w:val="single" w:sz="12" w:space="0" w:color="auto"/>
              <w:bottom w:val="single" w:sz="12" w:space="0" w:color="auto"/>
            </w:tcBorders>
            <w:shd w:val="clear" w:color="auto" w:fill="auto"/>
          </w:tcPr>
          <w:p w14:paraId="3BCEE38D" w14:textId="77777777" w:rsidR="003155E3" w:rsidRDefault="003155E3" w:rsidP="00D43AB0">
            <w:pPr>
              <w:jc w:val="center"/>
            </w:pPr>
            <w:r>
              <w:t>4</w:t>
            </w:r>
          </w:p>
        </w:tc>
        <w:tc>
          <w:tcPr>
            <w:tcW w:w="1497" w:type="dxa"/>
            <w:gridSpan w:val="2"/>
            <w:tcBorders>
              <w:top w:val="single" w:sz="12" w:space="0" w:color="auto"/>
              <w:bottom w:val="single" w:sz="12" w:space="0" w:color="auto"/>
            </w:tcBorders>
            <w:shd w:val="clear" w:color="auto" w:fill="auto"/>
          </w:tcPr>
          <w:p w14:paraId="0AFC5CA3" w14:textId="77777777" w:rsidR="003155E3" w:rsidRDefault="003155E3" w:rsidP="00D43AB0">
            <w:pPr>
              <w:jc w:val="center"/>
            </w:pPr>
            <w:r>
              <w:t>4</w:t>
            </w:r>
          </w:p>
        </w:tc>
        <w:tc>
          <w:tcPr>
            <w:tcW w:w="1497" w:type="dxa"/>
            <w:tcBorders>
              <w:top w:val="single" w:sz="12" w:space="0" w:color="auto"/>
              <w:bottom w:val="single" w:sz="12" w:space="0" w:color="auto"/>
              <w:right w:val="single" w:sz="12" w:space="0" w:color="auto"/>
            </w:tcBorders>
            <w:shd w:val="clear" w:color="auto" w:fill="auto"/>
          </w:tcPr>
          <w:p w14:paraId="0E7A867A" w14:textId="77777777" w:rsidR="003155E3" w:rsidRDefault="003155E3" w:rsidP="00D43AB0">
            <w:pPr>
              <w:jc w:val="center"/>
            </w:pPr>
            <w:r>
              <w:t>4</w:t>
            </w:r>
          </w:p>
        </w:tc>
      </w:tr>
    </w:tbl>
    <w:p w14:paraId="5A265BEC" w14:textId="77777777" w:rsidR="00633895" w:rsidRDefault="00633895" w:rsidP="00633895"/>
    <w:p w14:paraId="557A3721" w14:textId="77777777" w:rsidR="00633895" w:rsidRPr="00193994" w:rsidRDefault="00633895" w:rsidP="00633895">
      <w:pPr>
        <w:ind w:firstLine="227"/>
      </w:pPr>
      <w:r w:rsidRPr="00193994">
        <w:t xml:space="preserve">Beoordeling: </w:t>
      </w:r>
      <w:r>
        <w:t>Onvoldoende = 1, Matig = 2, Voldoende = 3, Goed</w:t>
      </w:r>
      <w:r w:rsidRPr="00193994">
        <w:t xml:space="preserve"> = 4</w:t>
      </w:r>
    </w:p>
    <w:p w14:paraId="0CA1423B" w14:textId="77777777" w:rsidR="00633895" w:rsidRDefault="00633895" w:rsidP="00633895"/>
    <w:p w14:paraId="21768E94" w14:textId="77777777" w:rsidR="00633895" w:rsidRDefault="00633895" w:rsidP="00633895"/>
    <w:p w14:paraId="3D10B45E" w14:textId="6ED149F9" w:rsidR="00B95FC2" w:rsidRPr="00734374" w:rsidRDefault="00633895" w:rsidP="00734374">
      <w:pPr>
        <w:pStyle w:val="Heading1"/>
        <w:tabs>
          <w:tab w:val="num" w:pos="0"/>
        </w:tabs>
        <w:spacing w:after="240" w:line="240" w:lineRule="auto"/>
        <w:ind w:hanging="1162"/>
      </w:pPr>
      <w:bookmarkStart w:id="21" w:name="_Toc491439696"/>
      <w:r>
        <w:lastRenderedPageBreak/>
        <w:t>2</w:t>
      </w:r>
      <w:r w:rsidR="00734374" w:rsidRPr="00734374">
        <w:t xml:space="preserve"> </w:t>
      </w:r>
      <w:r w:rsidR="00734374">
        <w:tab/>
      </w:r>
      <w:r w:rsidR="00AD0CCB" w:rsidRPr="00734374">
        <w:t>Inleiding</w:t>
      </w:r>
      <w:bookmarkEnd w:id="17"/>
      <w:bookmarkEnd w:id="21"/>
    </w:p>
    <w:p w14:paraId="3D10B460" w14:textId="744DCFD1" w:rsidR="005D3322" w:rsidRDefault="005150FC" w:rsidP="005150FC">
      <w:pPr>
        <w:shd w:val="clear" w:color="auto" w:fill="FFFFFF"/>
        <w:spacing w:before="100" w:beforeAutospacing="1" w:after="100" w:afterAutospacing="1" w:line="240" w:lineRule="auto"/>
        <w:rPr>
          <w:szCs w:val="18"/>
          <w:lang w:eastAsia="zh-CN"/>
        </w:rPr>
      </w:pPr>
      <w:r>
        <w:rPr>
          <w:szCs w:val="18"/>
          <w:lang w:eastAsia="zh-CN"/>
        </w:rPr>
        <w:t xml:space="preserve">Scorecards worden opgesteld om het functioneren en de beleidsrelevantie van multilaterale organisaties in kaart te brengen. </w:t>
      </w:r>
      <w:r w:rsidR="00710978">
        <w:rPr>
          <w:szCs w:val="18"/>
          <w:lang w:eastAsia="zh-CN"/>
        </w:rPr>
        <w:t>D</w:t>
      </w:r>
      <w:r>
        <w:rPr>
          <w:szCs w:val="18"/>
          <w:lang w:eastAsia="zh-CN"/>
        </w:rPr>
        <w:t>e Nederlandse inzet in multilaterale organisaties word</w:t>
      </w:r>
      <w:r w:rsidR="00710978">
        <w:rPr>
          <w:szCs w:val="18"/>
          <w:lang w:eastAsia="zh-CN"/>
        </w:rPr>
        <w:t>t</w:t>
      </w:r>
      <w:r>
        <w:rPr>
          <w:szCs w:val="18"/>
          <w:lang w:eastAsia="zh-CN"/>
        </w:rPr>
        <w:t xml:space="preserve"> geconcentreerd op organ</w:t>
      </w:r>
      <w:r w:rsidR="007E1149">
        <w:rPr>
          <w:szCs w:val="18"/>
          <w:lang w:eastAsia="zh-CN"/>
        </w:rPr>
        <w:t xml:space="preserve">isaties </w:t>
      </w:r>
      <w:r w:rsidR="00A71A15">
        <w:rPr>
          <w:szCs w:val="18"/>
          <w:lang w:eastAsia="zh-CN"/>
        </w:rPr>
        <w:t xml:space="preserve">die effectief zijn en </w:t>
      </w:r>
      <w:r w:rsidR="007E1149">
        <w:rPr>
          <w:szCs w:val="18"/>
          <w:lang w:eastAsia="zh-CN"/>
        </w:rPr>
        <w:t>die relevant zijn voor</w:t>
      </w:r>
      <w:r>
        <w:rPr>
          <w:szCs w:val="18"/>
          <w:lang w:eastAsia="zh-CN"/>
        </w:rPr>
        <w:t xml:space="preserve"> het Nederlandse beleid</w:t>
      </w:r>
      <w:r w:rsidR="000C082E">
        <w:rPr>
          <w:szCs w:val="18"/>
          <w:lang w:eastAsia="zh-CN"/>
        </w:rPr>
        <w:t xml:space="preserve">, </w:t>
      </w:r>
      <w:r w:rsidR="00456C9B">
        <w:rPr>
          <w:szCs w:val="18"/>
          <w:lang w:eastAsia="zh-CN"/>
        </w:rPr>
        <w:t>of</w:t>
      </w:r>
      <w:r w:rsidR="000C082E">
        <w:rPr>
          <w:szCs w:val="18"/>
          <w:lang w:eastAsia="zh-CN"/>
        </w:rPr>
        <w:t xml:space="preserve"> een sleutelrol vervullen binnen de multilaterale architectuur als </w:t>
      </w:r>
      <w:r w:rsidR="00125028">
        <w:rPr>
          <w:szCs w:val="18"/>
          <w:lang w:eastAsia="zh-CN"/>
        </w:rPr>
        <w:t>“</w:t>
      </w:r>
      <w:r w:rsidR="000C082E">
        <w:rPr>
          <w:szCs w:val="18"/>
          <w:lang w:eastAsia="zh-CN"/>
        </w:rPr>
        <w:t>systeemorganisatie</w:t>
      </w:r>
      <w:r w:rsidR="00125028">
        <w:rPr>
          <w:szCs w:val="18"/>
          <w:lang w:eastAsia="zh-CN"/>
        </w:rPr>
        <w:t>”</w:t>
      </w:r>
      <w:r w:rsidR="000C082E">
        <w:rPr>
          <w:szCs w:val="18"/>
          <w:lang w:eastAsia="zh-CN"/>
        </w:rPr>
        <w:t xml:space="preserve">. </w:t>
      </w:r>
      <w:r w:rsidR="00967346">
        <w:rPr>
          <w:szCs w:val="18"/>
          <w:lang w:eastAsia="zh-CN"/>
        </w:rPr>
        <w:t>Dit vraagt om</w:t>
      </w:r>
      <w:r>
        <w:rPr>
          <w:szCs w:val="18"/>
          <w:lang w:eastAsia="zh-CN"/>
        </w:rPr>
        <w:t xml:space="preserve"> zorgvuldige en regelmatige toetsing. </w:t>
      </w:r>
      <w:r w:rsidR="005D3322">
        <w:rPr>
          <w:szCs w:val="18"/>
          <w:lang w:eastAsia="zh-CN"/>
        </w:rPr>
        <w:t>Het streven is om scorecards</w:t>
      </w:r>
      <w:r w:rsidR="00DB2280">
        <w:rPr>
          <w:szCs w:val="18"/>
          <w:lang w:eastAsia="zh-CN"/>
        </w:rPr>
        <w:t xml:space="preserve"> op te stellen voor de</w:t>
      </w:r>
      <w:r w:rsidR="005D3322">
        <w:rPr>
          <w:szCs w:val="18"/>
          <w:lang w:eastAsia="zh-CN"/>
        </w:rPr>
        <w:t xml:space="preserve"> </w:t>
      </w:r>
      <w:r w:rsidR="00A2455B">
        <w:rPr>
          <w:szCs w:val="18"/>
          <w:lang w:eastAsia="zh-CN"/>
        </w:rPr>
        <w:t xml:space="preserve">VN Fondsen en </w:t>
      </w:r>
      <w:r w:rsidR="00223E42">
        <w:rPr>
          <w:szCs w:val="18"/>
          <w:lang w:eastAsia="zh-CN"/>
        </w:rPr>
        <w:t xml:space="preserve">Programma’s, </w:t>
      </w:r>
      <w:r w:rsidR="003B4CB4">
        <w:rPr>
          <w:szCs w:val="18"/>
          <w:lang w:eastAsia="zh-CN"/>
        </w:rPr>
        <w:t xml:space="preserve">de Internationale </w:t>
      </w:r>
      <w:r w:rsidR="00F613E9">
        <w:rPr>
          <w:szCs w:val="18"/>
          <w:lang w:eastAsia="zh-CN"/>
        </w:rPr>
        <w:t>Financiële</w:t>
      </w:r>
      <w:r w:rsidR="003B4CB4">
        <w:rPr>
          <w:szCs w:val="18"/>
          <w:lang w:eastAsia="zh-CN"/>
        </w:rPr>
        <w:t xml:space="preserve"> Instellingen</w:t>
      </w:r>
      <w:r w:rsidR="00B42B67">
        <w:rPr>
          <w:szCs w:val="18"/>
          <w:lang w:eastAsia="zh-CN"/>
        </w:rPr>
        <w:t xml:space="preserve"> (</w:t>
      </w:r>
      <w:proofErr w:type="spellStart"/>
      <w:r w:rsidR="00B42B67">
        <w:rPr>
          <w:szCs w:val="18"/>
          <w:lang w:eastAsia="zh-CN"/>
        </w:rPr>
        <w:t>IFI's</w:t>
      </w:r>
      <w:proofErr w:type="spellEnd"/>
      <w:r w:rsidR="00B42B67">
        <w:rPr>
          <w:szCs w:val="18"/>
          <w:lang w:eastAsia="zh-CN"/>
        </w:rPr>
        <w:t>)</w:t>
      </w:r>
      <w:r w:rsidR="003B4CB4">
        <w:rPr>
          <w:szCs w:val="18"/>
          <w:lang w:eastAsia="zh-CN"/>
        </w:rPr>
        <w:t xml:space="preserve">, </w:t>
      </w:r>
      <w:r w:rsidR="00223E42">
        <w:rPr>
          <w:szCs w:val="18"/>
          <w:lang w:eastAsia="zh-CN"/>
        </w:rPr>
        <w:t xml:space="preserve">de voor Nederlands </w:t>
      </w:r>
      <w:r w:rsidR="00DF1E0B">
        <w:rPr>
          <w:szCs w:val="18"/>
          <w:lang w:eastAsia="zh-CN"/>
        </w:rPr>
        <w:t xml:space="preserve">beleid </w:t>
      </w:r>
      <w:r w:rsidR="00B42B67">
        <w:rPr>
          <w:szCs w:val="18"/>
          <w:lang w:eastAsia="zh-CN"/>
        </w:rPr>
        <w:t>voor Buitenlandse Handel en Ontwikkelingssamenwerking (BHOS)</w:t>
      </w:r>
      <w:r w:rsidR="00CB4875">
        <w:rPr>
          <w:szCs w:val="18"/>
          <w:lang w:eastAsia="zh-CN"/>
        </w:rPr>
        <w:t xml:space="preserve"> </w:t>
      </w:r>
      <w:r w:rsidR="00223E42">
        <w:rPr>
          <w:szCs w:val="18"/>
          <w:lang w:eastAsia="zh-CN"/>
        </w:rPr>
        <w:t>relevante gespecialiseerde VN-organisaties en kantoren, en de majeure wereldwijde fondsen</w:t>
      </w:r>
      <w:r w:rsidR="00A37B8E">
        <w:rPr>
          <w:szCs w:val="18"/>
          <w:lang w:eastAsia="zh-CN"/>
        </w:rPr>
        <w:t>;</w:t>
      </w:r>
      <w:r w:rsidR="00223E42">
        <w:rPr>
          <w:szCs w:val="18"/>
          <w:lang w:eastAsia="zh-CN"/>
        </w:rPr>
        <w:t xml:space="preserve"> </w:t>
      </w:r>
      <w:r w:rsidR="005D3322">
        <w:rPr>
          <w:szCs w:val="18"/>
          <w:lang w:eastAsia="zh-CN"/>
        </w:rPr>
        <w:t xml:space="preserve">multilaterale organisaties waaraan Nederland een substantiële ODA-bijdrage levert. De relevantie wordt primair getoetst aan het Nederlandse beleid voor </w:t>
      </w:r>
      <w:r w:rsidR="00A07737">
        <w:rPr>
          <w:szCs w:val="18"/>
          <w:lang w:eastAsia="zh-CN"/>
        </w:rPr>
        <w:t>B</w:t>
      </w:r>
      <w:r w:rsidR="00B42B67">
        <w:rPr>
          <w:szCs w:val="18"/>
          <w:lang w:eastAsia="zh-CN"/>
        </w:rPr>
        <w:t>HOS</w:t>
      </w:r>
      <w:r w:rsidR="003B3E90">
        <w:rPr>
          <w:szCs w:val="18"/>
          <w:lang w:eastAsia="zh-CN"/>
        </w:rPr>
        <w:t xml:space="preserve"> </w:t>
      </w:r>
      <w:r w:rsidR="00B42B67">
        <w:rPr>
          <w:szCs w:val="18"/>
          <w:lang w:eastAsia="zh-CN"/>
        </w:rPr>
        <w:t>en</w:t>
      </w:r>
      <w:r w:rsidR="005D3322">
        <w:rPr>
          <w:szCs w:val="18"/>
          <w:lang w:eastAsia="zh-CN"/>
        </w:rPr>
        <w:t xml:space="preserve"> de bredere betekenis van multilaterale instellingen voor andere aspecten van Nederlands beleid wordt </w:t>
      </w:r>
      <w:r w:rsidR="00A8630D">
        <w:rPr>
          <w:szCs w:val="18"/>
          <w:lang w:eastAsia="zh-CN"/>
        </w:rPr>
        <w:t>waar relevant</w:t>
      </w:r>
      <w:r w:rsidR="005D3322">
        <w:rPr>
          <w:szCs w:val="18"/>
          <w:lang w:eastAsia="zh-CN"/>
        </w:rPr>
        <w:t xml:space="preserve"> meegenomen.</w:t>
      </w:r>
    </w:p>
    <w:p w14:paraId="3D10B461" w14:textId="77777777" w:rsidR="005150FC" w:rsidRPr="00307981" w:rsidRDefault="005150FC" w:rsidP="005150FC">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sidR="00C1320B">
        <w:rPr>
          <w:szCs w:val="18"/>
          <w:lang w:eastAsia="zh-CN"/>
        </w:rPr>
        <w:t>,</w:t>
      </w:r>
      <w:r w:rsidRPr="00307981">
        <w:rPr>
          <w:szCs w:val="18"/>
          <w:lang w:eastAsia="zh-CN"/>
        </w:rPr>
        <w:t xml:space="preserve"> het mandaat </w:t>
      </w:r>
      <w:r w:rsidR="00C1320B">
        <w:rPr>
          <w:szCs w:val="18"/>
          <w:lang w:eastAsia="zh-CN"/>
        </w:rPr>
        <w:t xml:space="preserve">en de kernkwaliteiten </w:t>
      </w:r>
      <w:r w:rsidR="006569DB">
        <w:rPr>
          <w:szCs w:val="18"/>
          <w:lang w:eastAsia="zh-CN"/>
        </w:rPr>
        <w:t xml:space="preserve">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sidR="008735BA">
        <w:rPr>
          <w:szCs w:val="18"/>
          <w:lang w:eastAsia="zh-CN"/>
        </w:rPr>
        <w:t xml:space="preserve">organisatorische </w:t>
      </w:r>
      <w:r w:rsidR="00AB5963">
        <w:rPr>
          <w:szCs w:val="18"/>
          <w:lang w:eastAsia="zh-CN"/>
        </w:rPr>
        <w:t>effectiviteit</w:t>
      </w:r>
      <w:r w:rsidRPr="00307981">
        <w:rPr>
          <w:szCs w:val="18"/>
          <w:lang w:eastAsia="zh-CN"/>
        </w:rPr>
        <w:t xml:space="preserve"> en van de relevantie </w:t>
      </w:r>
      <w:r w:rsidR="00456A79">
        <w:rPr>
          <w:szCs w:val="18"/>
          <w:lang w:eastAsia="zh-CN"/>
        </w:rPr>
        <w:t xml:space="preserve">voor </w:t>
      </w:r>
      <w:r w:rsidRPr="00307981">
        <w:rPr>
          <w:szCs w:val="18"/>
          <w:lang w:eastAsia="zh-CN"/>
        </w:rPr>
        <w:t>de Nederlandse beleidsdoelstellingen.</w:t>
      </w:r>
      <w:r w:rsidR="005D3322">
        <w:rPr>
          <w:szCs w:val="18"/>
          <w:lang w:eastAsia="zh-CN"/>
        </w:rPr>
        <w:t xml:space="preserve"> </w:t>
      </w:r>
      <w:r w:rsidR="00F3652C">
        <w:rPr>
          <w:szCs w:val="18"/>
          <w:lang w:eastAsia="zh-CN"/>
        </w:rPr>
        <w:t xml:space="preserve">Er </w:t>
      </w:r>
      <w:r w:rsidR="00BB7ABD">
        <w:rPr>
          <w:szCs w:val="18"/>
          <w:lang w:eastAsia="zh-CN"/>
        </w:rPr>
        <w:t xml:space="preserve">wordt een appreciatie gegeven van de mate waarin organisaties voor het Nederlandse BHOS-beleid relevante resultaten behalen. </w:t>
      </w:r>
      <w:r w:rsidR="005D3322">
        <w:rPr>
          <w:szCs w:val="18"/>
          <w:lang w:eastAsia="zh-CN"/>
        </w:rPr>
        <w:t xml:space="preserve">Deelaspecten van effectiviteit worden beoordeeld op basis van specifieke criteria en gescoord op een </w:t>
      </w:r>
      <w:proofErr w:type="spellStart"/>
      <w:r w:rsidR="005D3322">
        <w:rPr>
          <w:szCs w:val="18"/>
          <w:lang w:eastAsia="zh-CN"/>
        </w:rPr>
        <w:t>vierpuntsschaal</w:t>
      </w:r>
      <w:proofErr w:type="spellEnd"/>
      <w:r w:rsidR="005D3322">
        <w:rPr>
          <w:szCs w:val="18"/>
          <w:lang w:eastAsia="zh-CN"/>
        </w:rPr>
        <w:t xml:space="preserve"> van onvoldoende, matig, voldoende en </w:t>
      </w:r>
      <w:r w:rsidR="0014161D">
        <w:rPr>
          <w:szCs w:val="18"/>
          <w:lang w:eastAsia="zh-CN"/>
        </w:rPr>
        <w:t>uitstekend</w:t>
      </w:r>
      <w:r w:rsidR="005D3322">
        <w:rPr>
          <w:szCs w:val="18"/>
          <w:lang w:eastAsia="zh-CN"/>
        </w:rPr>
        <w:t xml:space="preserve">. Daarnaast </w:t>
      </w:r>
      <w:r w:rsidR="0014161D">
        <w:rPr>
          <w:szCs w:val="18"/>
          <w:lang w:eastAsia="zh-CN"/>
        </w:rPr>
        <w:t>wordt aangegeven of de organisatie een positieve, een negatieve of een neutrale ontwikkeling heeft doorgemaakt sinds de scorecard 2015.</w:t>
      </w:r>
      <w:r w:rsidR="005D3322">
        <w:rPr>
          <w:szCs w:val="18"/>
          <w:lang w:eastAsia="zh-CN"/>
        </w:rPr>
        <w:t xml:space="preserve"> </w:t>
      </w:r>
      <w:r w:rsidR="00EE1DC0">
        <w:rPr>
          <w:szCs w:val="18"/>
          <w:lang w:eastAsia="zh-CN"/>
        </w:rPr>
        <w:t>Beleidsmatige r</w:t>
      </w:r>
      <w:r w:rsidR="005D3322">
        <w:rPr>
          <w:szCs w:val="18"/>
          <w:lang w:eastAsia="zh-CN"/>
        </w:rPr>
        <w:t xml:space="preserve">elevantie </w:t>
      </w:r>
      <w:r w:rsidR="00EE1DC0">
        <w:rPr>
          <w:szCs w:val="18"/>
          <w:lang w:eastAsia="zh-CN"/>
        </w:rPr>
        <w:t>en impact</w:t>
      </w:r>
      <w:r w:rsidR="00770864">
        <w:rPr>
          <w:szCs w:val="18"/>
          <w:lang w:eastAsia="zh-CN"/>
        </w:rPr>
        <w:t xml:space="preserve"> (resultaten)</w:t>
      </w:r>
      <w:r w:rsidR="00EE1DC0">
        <w:rPr>
          <w:szCs w:val="18"/>
          <w:lang w:eastAsia="zh-CN"/>
        </w:rPr>
        <w:t xml:space="preserve"> worden </w:t>
      </w:r>
      <w:r w:rsidR="005D3322">
        <w:rPr>
          <w:szCs w:val="18"/>
          <w:lang w:eastAsia="zh-CN"/>
        </w:rPr>
        <w:t>aangeduid met de kwalificaties relevant, beperkt relevant en niet relevant. Een samenvatting van al deze scores is te vind</w:t>
      </w:r>
      <w:r w:rsidR="005A463A">
        <w:rPr>
          <w:szCs w:val="18"/>
          <w:lang w:eastAsia="zh-CN"/>
        </w:rPr>
        <w:t>en in de tabellen in hoofdstuk 5</w:t>
      </w:r>
      <w:r w:rsidR="005D3322">
        <w:rPr>
          <w:szCs w:val="18"/>
          <w:lang w:eastAsia="zh-CN"/>
        </w:rPr>
        <w:t>.</w:t>
      </w:r>
    </w:p>
    <w:p w14:paraId="3D10B462" w14:textId="77777777" w:rsidR="005150FC" w:rsidRPr="00307981" w:rsidRDefault="005150FC" w:rsidP="005150FC">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sidR="00AC567F">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proofErr w:type="spellStart"/>
      <w:r w:rsidRPr="00AF36B0">
        <w:rPr>
          <w:i/>
          <w:szCs w:val="18"/>
          <w:lang w:eastAsia="zh-CN"/>
        </w:rPr>
        <w:t>Multilateral</w:t>
      </w:r>
      <w:proofErr w:type="spellEnd"/>
      <w:r w:rsidRPr="00AF36B0">
        <w:rPr>
          <w:i/>
          <w:szCs w:val="18"/>
          <w:lang w:eastAsia="zh-CN"/>
        </w:rPr>
        <w:t xml:space="preserve"> </w:t>
      </w:r>
      <w:proofErr w:type="spellStart"/>
      <w:r w:rsidRPr="00AF36B0">
        <w:rPr>
          <w:i/>
          <w:szCs w:val="18"/>
          <w:lang w:eastAsia="zh-CN"/>
        </w:rPr>
        <w:t>Organisations</w:t>
      </w:r>
      <w:proofErr w:type="spellEnd"/>
      <w:r w:rsidRPr="00AF36B0">
        <w:rPr>
          <w:i/>
          <w:szCs w:val="18"/>
          <w:lang w:eastAsia="zh-CN"/>
        </w:rPr>
        <w:t xml:space="preserve"> Performance Assessment Network</w:t>
      </w:r>
      <w:r w:rsidRPr="00307981">
        <w:rPr>
          <w:szCs w:val="18"/>
          <w:lang w:eastAsia="zh-CN"/>
        </w:rPr>
        <w:t xml:space="preserve"> (MOPAN)</w:t>
      </w:r>
      <w:r w:rsidR="00456C9B">
        <w:rPr>
          <w:szCs w:val="18"/>
          <w:lang w:eastAsia="zh-CN"/>
        </w:rPr>
        <w:t>.</w:t>
      </w:r>
      <w:r>
        <w:rPr>
          <w:rStyle w:val="FootnoteReference"/>
          <w:szCs w:val="18"/>
          <w:lang w:eastAsia="zh-CN"/>
        </w:rPr>
        <w:footnoteReference w:id="2"/>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w:t>
      </w:r>
      <w:proofErr w:type="spellStart"/>
      <w:r w:rsidRPr="00307981">
        <w:rPr>
          <w:szCs w:val="18"/>
          <w:lang w:eastAsia="zh-CN"/>
        </w:rPr>
        <w:t>Kiesgroepkantoren</w:t>
      </w:r>
      <w:proofErr w:type="spellEnd"/>
      <w:r w:rsidRPr="00307981">
        <w:rPr>
          <w:szCs w:val="18"/>
          <w:lang w:eastAsia="zh-CN"/>
        </w:rPr>
        <w:t xml:space="preserve">. Ook </w:t>
      </w:r>
      <w:r w:rsidR="004E60C0">
        <w:rPr>
          <w:szCs w:val="18"/>
          <w:lang w:eastAsia="zh-CN"/>
        </w:rPr>
        <w:t xml:space="preserve">informatie </w:t>
      </w:r>
      <w:r>
        <w:rPr>
          <w:szCs w:val="18"/>
          <w:lang w:eastAsia="zh-CN"/>
        </w:rPr>
        <w:t xml:space="preserve">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sidR="00710978">
        <w:rPr>
          <w:szCs w:val="18"/>
          <w:lang w:eastAsia="zh-CN"/>
        </w:rPr>
        <w:t>verwerkt</w:t>
      </w:r>
      <w:r>
        <w:rPr>
          <w:szCs w:val="18"/>
          <w:lang w:eastAsia="zh-CN"/>
        </w:rPr>
        <w:t>.</w:t>
      </w:r>
      <w:r w:rsidRPr="00307981">
        <w:rPr>
          <w:szCs w:val="18"/>
          <w:lang w:eastAsia="zh-CN"/>
        </w:rPr>
        <w:t xml:space="preserve"> </w:t>
      </w:r>
      <w:r w:rsidR="00AC567F">
        <w:rPr>
          <w:szCs w:val="18"/>
          <w:lang w:eastAsia="zh-CN"/>
        </w:rPr>
        <w:t>De s</w:t>
      </w:r>
      <w:r w:rsidRPr="00307981">
        <w:rPr>
          <w:szCs w:val="18"/>
          <w:lang w:eastAsia="zh-CN"/>
        </w:rPr>
        <w:t xml:space="preserve">corecards </w:t>
      </w:r>
      <w:r>
        <w:rPr>
          <w:szCs w:val="18"/>
          <w:lang w:eastAsia="zh-CN"/>
        </w:rPr>
        <w:t xml:space="preserve">worden </w:t>
      </w:r>
      <w:r w:rsidR="002633CA">
        <w:rPr>
          <w:szCs w:val="18"/>
          <w:lang w:eastAsia="zh-CN"/>
        </w:rPr>
        <w:t xml:space="preserve">iedere twee jaar </w:t>
      </w:r>
      <w:r w:rsidRPr="00307981">
        <w:rPr>
          <w:szCs w:val="18"/>
          <w:lang w:eastAsia="zh-CN"/>
        </w:rPr>
        <w:t>geactualiseerd</w:t>
      </w:r>
      <w:r w:rsidR="002C77AF">
        <w:rPr>
          <w:szCs w:val="18"/>
          <w:lang w:eastAsia="zh-CN"/>
        </w:rPr>
        <w:t>.</w:t>
      </w:r>
      <w:r w:rsidRPr="00307981">
        <w:rPr>
          <w:szCs w:val="18"/>
          <w:lang w:eastAsia="zh-CN"/>
        </w:rPr>
        <w:t xml:space="preserve"> </w:t>
      </w:r>
    </w:p>
    <w:p w14:paraId="3D10B463" w14:textId="77777777" w:rsidR="00307981" w:rsidRPr="00307981" w:rsidRDefault="00307981" w:rsidP="00307981"/>
    <w:p w14:paraId="3D10B464" w14:textId="207C95B5" w:rsidR="00D745A7" w:rsidRPr="00973153" w:rsidRDefault="00633895" w:rsidP="00F24A31">
      <w:pPr>
        <w:pStyle w:val="Heading1"/>
        <w:tabs>
          <w:tab w:val="num" w:pos="0"/>
        </w:tabs>
        <w:spacing w:after="240" w:line="240" w:lineRule="auto"/>
        <w:ind w:hanging="1162"/>
      </w:pPr>
      <w:bookmarkStart w:id="22" w:name="_Toc491439697"/>
      <w:r>
        <w:lastRenderedPageBreak/>
        <w:t>3</w:t>
      </w:r>
      <w:r w:rsidR="00F24A31">
        <w:t xml:space="preserve"> </w:t>
      </w:r>
      <w:r w:rsidR="00F24A31">
        <w:tab/>
      </w:r>
      <w:r w:rsidR="00D745A7" w:rsidRPr="00973153">
        <w:t>Algemene achtergrond</w:t>
      </w:r>
      <w:bookmarkEnd w:id="22"/>
    </w:p>
    <w:p w14:paraId="0AC0803E" w14:textId="77777777" w:rsidR="00633895" w:rsidRPr="00633895" w:rsidRDefault="00633895" w:rsidP="00633895">
      <w:pPr>
        <w:pStyle w:val="ListParagraph"/>
        <w:keepNext/>
        <w:widowControl w:val="0"/>
        <w:numPr>
          <w:ilvl w:val="0"/>
          <w:numId w:val="21"/>
        </w:numPr>
        <w:tabs>
          <w:tab w:val="left" w:pos="-1162"/>
          <w:tab w:val="left" w:pos="0"/>
        </w:tabs>
        <w:spacing w:before="200"/>
        <w:contextualSpacing/>
        <w:outlineLvl w:val="1"/>
        <w:rPr>
          <w:rFonts w:ascii="Verdana" w:eastAsia="Times New Roman" w:hAnsi="Verdana" w:cs="Arial"/>
          <w:b/>
          <w:iCs/>
          <w:vanish/>
          <w:kern w:val="32"/>
          <w:sz w:val="18"/>
          <w:szCs w:val="28"/>
        </w:rPr>
      </w:pPr>
    </w:p>
    <w:p w14:paraId="438E0CC1" w14:textId="77777777" w:rsidR="00633895" w:rsidRPr="00633895" w:rsidRDefault="00633895" w:rsidP="00633895">
      <w:pPr>
        <w:pStyle w:val="ListParagraph"/>
        <w:keepNext/>
        <w:widowControl w:val="0"/>
        <w:numPr>
          <w:ilvl w:val="0"/>
          <w:numId w:val="21"/>
        </w:numPr>
        <w:tabs>
          <w:tab w:val="left" w:pos="-1162"/>
          <w:tab w:val="left" w:pos="0"/>
        </w:tabs>
        <w:spacing w:before="200"/>
        <w:contextualSpacing/>
        <w:outlineLvl w:val="1"/>
        <w:rPr>
          <w:rFonts w:ascii="Verdana" w:eastAsia="Times New Roman" w:hAnsi="Verdana" w:cs="Arial"/>
          <w:b/>
          <w:iCs/>
          <w:vanish/>
          <w:kern w:val="32"/>
          <w:sz w:val="18"/>
          <w:szCs w:val="28"/>
        </w:rPr>
      </w:pPr>
    </w:p>
    <w:p w14:paraId="3D10B465" w14:textId="5C799D5B" w:rsidR="006C1EB0" w:rsidRDefault="00633895" w:rsidP="00ED4248">
      <w:pPr>
        <w:pStyle w:val="Heading2"/>
        <w:numPr>
          <w:ilvl w:val="1"/>
          <w:numId w:val="21"/>
        </w:numPr>
        <w:tabs>
          <w:tab w:val="left" w:pos="-1162"/>
          <w:tab w:val="left" w:pos="0"/>
        </w:tabs>
        <w:spacing w:line="240" w:lineRule="auto"/>
      </w:pPr>
      <w:r>
        <w:t xml:space="preserve">             </w:t>
      </w:r>
      <w:bookmarkStart w:id="23" w:name="_Toc491439698"/>
      <w:r w:rsidR="0055776D" w:rsidRPr="00973153">
        <w:t>Doelstelling</w:t>
      </w:r>
      <w:r w:rsidR="00FC6EC6" w:rsidRPr="00973153">
        <w:t xml:space="preserve"> en toegevoegde waarde</w:t>
      </w:r>
      <w:bookmarkEnd w:id="23"/>
    </w:p>
    <w:p w14:paraId="3D10B466" w14:textId="77777777" w:rsidR="00D90214" w:rsidRPr="003A13E9" w:rsidRDefault="00D90214" w:rsidP="00D90214">
      <w:pPr>
        <w:autoSpaceDE w:val="0"/>
        <w:autoSpaceDN w:val="0"/>
        <w:adjustRightInd w:val="0"/>
        <w:spacing w:line="240" w:lineRule="auto"/>
        <w:rPr>
          <w:rFonts w:cs="Verdana"/>
          <w:szCs w:val="18"/>
          <w:lang w:val="en-US"/>
        </w:rPr>
      </w:pPr>
      <w:r w:rsidRPr="003A13E9">
        <w:rPr>
          <w:rFonts w:cs="Verdana"/>
          <w:szCs w:val="18"/>
          <w:lang w:val="en-US"/>
        </w:rPr>
        <w:t xml:space="preserve">Het </w:t>
      </w:r>
      <w:proofErr w:type="spellStart"/>
      <w:r w:rsidRPr="003A13E9">
        <w:rPr>
          <w:rFonts w:cs="Verdana"/>
          <w:szCs w:val="18"/>
          <w:lang w:val="en-US"/>
        </w:rPr>
        <w:t>Verenigde</w:t>
      </w:r>
      <w:proofErr w:type="spellEnd"/>
      <w:r w:rsidRPr="003A13E9">
        <w:rPr>
          <w:rFonts w:cs="Verdana"/>
          <w:szCs w:val="18"/>
          <w:lang w:val="en-US"/>
        </w:rPr>
        <w:t xml:space="preserve"> </w:t>
      </w:r>
      <w:proofErr w:type="spellStart"/>
      <w:r w:rsidRPr="003A13E9">
        <w:rPr>
          <w:rFonts w:cs="Verdana"/>
          <w:szCs w:val="18"/>
          <w:lang w:val="en-US"/>
        </w:rPr>
        <w:t>Naties</w:t>
      </w:r>
      <w:proofErr w:type="spellEnd"/>
      <w:r w:rsidRPr="003A13E9">
        <w:rPr>
          <w:rFonts w:cs="Verdana"/>
          <w:szCs w:val="18"/>
          <w:lang w:val="en-US"/>
        </w:rPr>
        <w:t xml:space="preserve"> </w:t>
      </w:r>
      <w:r w:rsidRPr="003A13E9">
        <w:rPr>
          <w:rFonts w:cs="Verdana"/>
          <w:i/>
          <w:iCs/>
          <w:szCs w:val="18"/>
          <w:lang w:val="en-US"/>
        </w:rPr>
        <w:t xml:space="preserve">Office for the Coordination of Humanitarian Affairs </w:t>
      </w:r>
      <w:r w:rsidRPr="003A13E9">
        <w:rPr>
          <w:rFonts w:cs="Verdana"/>
          <w:szCs w:val="18"/>
          <w:lang w:val="en-US"/>
        </w:rPr>
        <w:t>(OCHA)</w:t>
      </w:r>
    </w:p>
    <w:p w14:paraId="3D10B467" w14:textId="32ECEEE9" w:rsidR="00D90214" w:rsidRPr="00C044F5" w:rsidRDefault="00D90214" w:rsidP="00D90214">
      <w:pPr>
        <w:autoSpaceDE w:val="0"/>
        <w:autoSpaceDN w:val="0"/>
        <w:adjustRightInd w:val="0"/>
        <w:spacing w:line="240" w:lineRule="auto"/>
        <w:rPr>
          <w:rFonts w:cs="Verdana"/>
          <w:szCs w:val="18"/>
        </w:rPr>
      </w:pPr>
      <w:r>
        <w:rPr>
          <w:rFonts w:cs="Verdana"/>
          <w:szCs w:val="18"/>
        </w:rPr>
        <w:t>werd in 1998 opgericht vanuit</w:t>
      </w:r>
      <w:r w:rsidR="00F8189F">
        <w:rPr>
          <w:rFonts w:cs="Verdana"/>
          <w:szCs w:val="18"/>
        </w:rPr>
        <w:t xml:space="preserve"> het </w:t>
      </w:r>
      <w:proofErr w:type="spellStart"/>
      <w:r w:rsidR="00F8189F" w:rsidRPr="003B3E90">
        <w:rPr>
          <w:rFonts w:cs="Verdana"/>
          <w:i/>
          <w:szCs w:val="18"/>
        </w:rPr>
        <w:t>Department</w:t>
      </w:r>
      <w:proofErr w:type="spellEnd"/>
      <w:r w:rsidR="00F8189F" w:rsidRPr="003B3E90">
        <w:rPr>
          <w:rFonts w:cs="Verdana"/>
          <w:i/>
          <w:szCs w:val="18"/>
        </w:rPr>
        <w:t xml:space="preserve"> of </w:t>
      </w:r>
      <w:proofErr w:type="spellStart"/>
      <w:r w:rsidR="00F8189F" w:rsidRPr="003B3E90">
        <w:rPr>
          <w:rFonts w:cs="Verdana"/>
          <w:i/>
          <w:szCs w:val="18"/>
        </w:rPr>
        <w:t>Humanitarian</w:t>
      </w:r>
      <w:proofErr w:type="spellEnd"/>
      <w:r w:rsidR="00F8189F" w:rsidRPr="003B3E90">
        <w:rPr>
          <w:rFonts w:cs="Verdana"/>
          <w:i/>
          <w:szCs w:val="18"/>
        </w:rPr>
        <w:t xml:space="preserve"> </w:t>
      </w:r>
      <w:proofErr w:type="spellStart"/>
      <w:r w:rsidR="00F8189F" w:rsidRPr="003B3E90">
        <w:rPr>
          <w:rFonts w:cs="Verdana"/>
          <w:i/>
          <w:szCs w:val="18"/>
        </w:rPr>
        <w:t>Affairs</w:t>
      </w:r>
      <w:proofErr w:type="spellEnd"/>
      <w:r w:rsidR="00C41379">
        <w:rPr>
          <w:rFonts w:cs="Verdana"/>
          <w:szCs w:val="18"/>
        </w:rPr>
        <w:t xml:space="preserve"> (DHA)</w:t>
      </w:r>
      <w:r w:rsidR="0001310F">
        <w:rPr>
          <w:rFonts w:cs="Verdana"/>
          <w:szCs w:val="18"/>
        </w:rPr>
        <w:t xml:space="preserve">. DHA </w:t>
      </w:r>
      <w:r w:rsidR="00C41379">
        <w:rPr>
          <w:rFonts w:cs="Verdana"/>
          <w:szCs w:val="18"/>
        </w:rPr>
        <w:t xml:space="preserve">is </w:t>
      </w:r>
      <w:r w:rsidR="00F8189F">
        <w:rPr>
          <w:rFonts w:cs="Verdana"/>
          <w:szCs w:val="18"/>
        </w:rPr>
        <w:t xml:space="preserve">in 1991 in het leven geroepen in het kader van </w:t>
      </w:r>
      <w:r>
        <w:rPr>
          <w:rFonts w:cs="Verdana"/>
          <w:szCs w:val="18"/>
        </w:rPr>
        <w:t>VN-resolutie 46/182 met als doel bij humanitaire noden de internationale gemeenschap efficiënter en effectiever op te laten treden door betere coördinatie van internationale humanitaire hulpverlening</w:t>
      </w:r>
      <w:r w:rsidR="00E4642E">
        <w:rPr>
          <w:rFonts w:cs="Verdana"/>
          <w:szCs w:val="18"/>
        </w:rPr>
        <w:t xml:space="preserve"> en betere afstemming met de nationale instanties</w:t>
      </w:r>
      <w:r w:rsidR="00C803EE">
        <w:rPr>
          <w:rFonts w:cs="Verdana"/>
          <w:szCs w:val="18"/>
        </w:rPr>
        <w:t>.</w:t>
      </w:r>
      <w:r>
        <w:rPr>
          <w:rFonts w:cs="Verdana"/>
          <w:szCs w:val="18"/>
        </w:rPr>
        <w:t xml:space="preserve"> </w:t>
      </w:r>
      <w:r w:rsidR="00C803EE">
        <w:rPr>
          <w:rFonts w:cs="Verdana"/>
          <w:szCs w:val="18"/>
        </w:rPr>
        <w:t xml:space="preserve">Naast </w:t>
      </w:r>
      <w:r w:rsidR="00517A58" w:rsidRPr="00C044F5">
        <w:rPr>
          <w:rFonts w:cs="Verdana"/>
          <w:szCs w:val="18"/>
        </w:rPr>
        <w:t>humanitaire coördinatie</w:t>
      </w:r>
      <w:r>
        <w:rPr>
          <w:rFonts w:cs="Verdana"/>
          <w:szCs w:val="18"/>
        </w:rPr>
        <w:t xml:space="preserve"> is OCHA normstellend, </w:t>
      </w:r>
      <w:r w:rsidR="003B3E90">
        <w:rPr>
          <w:rFonts w:cs="Verdana"/>
          <w:szCs w:val="18"/>
        </w:rPr>
        <w:t>beleid adviserend</w:t>
      </w:r>
      <w:r w:rsidR="008A7EC5">
        <w:rPr>
          <w:rFonts w:cs="Verdana"/>
          <w:szCs w:val="18"/>
        </w:rPr>
        <w:t>, fondsenwerver</w:t>
      </w:r>
      <w:r>
        <w:rPr>
          <w:rFonts w:cs="Verdana"/>
          <w:szCs w:val="18"/>
        </w:rPr>
        <w:t xml:space="preserve"> en pleitbezorger voor de </w:t>
      </w:r>
      <w:r w:rsidR="00C803EE">
        <w:rPr>
          <w:rFonts w:cs="Verdana"/>
          <w:szCs w:val="18"/>
        </w:rPr>
        <w:t>a</w:t>
      </w:r>
      <w:r>
        <w:rPr>
          <w:rFonts w:cs="Verdana"/>
          <w:szCs w:val="18"/>
        </w:rPr>
        <w:t xml:space="preserve">anpak </w:t>
      </w:r>
      <w:r w:rsidR="00C803EE">
        <w:rPr>
          <w:rFonts w:cs="Verdana"/>
          <w:szCs w:val="18"/>
        </w:rPr>
        <w:t>van humanitaire noden</w:t>
      </w:r>
      <w:r>
        <w:rPr>
          <w:rFonts w:cs="Verdana"/>
          <w:szCs w:val="18"/>
        </w:rPr>
        <w:t>.</w:t>
      </w:r>
    </w:p>
    <w:p w14:paraId="3D10B468" w14:textId="77777777" w:rsidR="00D90214" w:rsidRPr="00DA298C" w:rsidRDefault="00D90214" w:rsidP="00AE5230"/>
    <w:p w14:paraId="3D10B469" w14:textId="68E3752B" w:rsidR="00D745A7" w:rsidRDefault="00633895" w:rsidP="009C4AAC">
      <w:pPr>
        <w:pStyle w:val="Heading2"/>
        <w:numPr>
          <w:ilvl w:val="1"/>
          <w:numId w:val="21"/>
        </w:numPr>
        <w:tabs>
          <w:tab w:val="left" w:pos="-1162"/>
          <w:tab w:val="left" w:pos="0"/>
        </w:tabs>
        <w:spacing w:line="240" w:lineRule="auto"/>
      </w:pPr>
      <w:r>
        <w:t xml:space="preserve">             </w:t>
      </w:r>
      <w:bookmarkStart w:id="24" w:name="_Toc491439699"/>
      <w:r w:rsidR="00D745A7">
        <w:t>Organisatie, werkwijze en activiteiten</w:t>
      </w:r>
      <w:bookmarkEnd w:id="24"/>
    </w:p>
    <w:p w14:paraId="3D10B46B" w14:textId="5C1F7152" w:rsidR="009E539D" w:rsidRPr="00C044F5" w:rsidRDefault="009E539D" w:rsidP="009E539D">
      <w:pPr>
        <w:autoSpaceDE w:val="0"/>
        <w:autoSpaceDN w:val="0"/>
        <w:adjustRightInd w:val="0"/>
        <w:spacing w:line="240" w:lineRule="auto"/>
        <w:rPr>
          <w:rFonts w:cs="Verdana"/>
          <w:i/>
          <w:szCs w:val="18"/>
        </w:rPr>
      </w:pPr>
      <w:r w:rsidRPr="00C044F5">
        <w:rPr>
          <w:rFonts w:cs="Verdana"/>
          <w:i/>
          <w:szCs w:val="18"/>
        </w:rPr>
        <w:t>Organisatiestructuur</w:t>
      </w:r>
    </w:p>
    <w:p w14:paraId="3D10B46C" w14:textId="29B46063" w:rsidR="009E539D" w:rsidRDefault="009E539D" w:rsidP="009E539D">
      <w:pPr>
        <w:autoSpaceDE w:val="0"/>
        <w:autoSpaceDN w:val="0"/>
        <w:adjustRightInd w:val="0"/>
        <w:spacing w:line="240" w:lineRule="auto"/>
        <w:rPr>
          <w:rFonts w:cs="Verdana"/>
          <w:szCs w:val="18"/>
        </w:rPr>
      </w:pPr>
      <w:r>
        <w:rPr>
          <w:rFonts w:cs="Verdana"/>
          <w:szCs w:val="18"/>
        </w:rPr>
        <w:t xml:space="preserve">OCHA </w:t>
      </w:r>
      <w:r w:rsidR="00517A58">
        <w:rPr>
          <w:rFonts w:cs="Verdana"/>
          <w:szCs w:val="18"/>
        </w:rPr>
        <w:t>is onderdeel van</w:t>
      </w:r>
      <w:r>
        <w:rPr>
          <w:rFonts w:cs="Verdana"/>
          <w:szCs w:val="18"/>
        </w:rPr>
        <w:t xml:space="preserve"> het VN-</w:t>
      </w:r>
      <w:r w:rsidR="00C41379">
        <w:rPr>
          <w:rFonts w:cs="Verdana"/>
          <w:szCs w:val="18"/>
        </w:rPr>
        <w:t>S</w:t>
      </w:r>
      <w:r>
        <w:rPr>
          <w:rFonts w:cs="Verdana"/>
          <w:szCs w:val="18"/>
        </w:rPr>
        <w:t xml:space="preserve">ecretariaat en is daarmee gebonden aan de administratieve regels en procedures van het </w:t>
      </w:r>
      <w:r w:rsidR="00C41379">
        <w:rPr>
          <w:rFonts w:cs="Verdana"/>
          <w:szCs w:val="18"/>
        </w:rPr>
        <w:t>S</w:t>
      </w:r>
      <w:r>
        <w:rPr>
          <w:rFonts w:cs="Verdana"/>
          <w:szCs w:val="18"/>
        </w:rPr>
        <w:t xml:space="preserve">ecretariaat. De organisatie bestaat uit een hoofdkantoor met twee zetels (New York en Genève) en een aantal regionale en landenkantoren. Onderdeel van het kantoor in New York is het </w:t>
      </w:r>
      <w:r w:rsidR="00C41379">
        <w:rPr>
          <w:rFonts w:cs="Verdana"/>
          <w:szCs w:val="18"/>
        </w:rPr>
        <w:t>S</w:t>
      </w:r>
      <w:r>
        <w:rPr>
          <w:rFonts w:cs="Verdana"/>
          <w:szCs w:val="18"/>
        </w:rPr>
        <w:t>ecretariaat van het Centrale Noodhulpfonds van de VN (</w:t>
      </w:r>
      <w:r w:rsidRPr="003B3E90">
        <w:rPr>
          <w:rFonts w:cs="Verdana"/>
          <w:i/>
          <w:szCs w:val="18"/>
        </w:rPr>
        <w:t xml:space="preserve">Central </w:t>
      </w:r>
      <w:proofErr w:type="spellStart"/>
      <w:r w:rsidRPr="003B3E90">
        <w:rPr>
          <w:rFonts w:cs="Verdana"/>
          <w:i/>
          <w:szCs w:val="18"/>
        </w:rPr>
        <w:t>Emergency</w:t>
      </w:r>
      <w:proofErr w:type="spellEnd"/>
      <w:r w:rsidRPr="003B3E90">
        <w:rPr>
          <w:rFonts w:cs="Verdana"/>
          <w:i/>
          <w:szCs w:val="18"/>
        </w:rPr>
        <w:t xml:space="preserve"> Response Fund</w:t>
      </w:r>
      <w:r>
        <w:rPr>
          <w:rFonts w:cs="Verdana"/>
          <w:szCs w:val="18"/>
        </w:rPr>
        <w:t xml:space="preserve"> - CERF).</w:t>
      </w:r>
    </w:p>
    <w:p w14:paraId="3D10B46D" w14:textId="77777777" w:rsidR="009E539D" w:rsidRDefault="009E539D" w:rsidP="009E539D">
      <w:pPr>
        <w:autoSpaceDE w:val="0"/>
        <w:autoSpaceDN w:val="0"/>
        <w:adjustRightInd w:val="0"/>
        <w:spacing w:line="240" w:lineRule="auto"/>
        <w:rPr>
          <w:rFonts w:cs="Verdana"/>
          <w:szCs w:val="18"/>
        </w:rPr>
      </w:pPr>
    </w:p>
    <w:p w14:paraId="3D10B46E" w14:textId="48FB8B01" w:rsidR="009E539D" w:rsidRPr="00C044F5" w:rsidRDefault="009E539D" w:rsidP="009E539D">
      <w:pPr>
        <w:autoSpaceDE w:val="0"/>
        <w:autoSpaceDN w:val="0"/>
        <w:adjustRightInd w:val="0"/>
        <w:spacing w:line="240" w:lineRule="auto"/>
        <w:rPr>
          <w:rFonts w:cs="Verdana"/>
          <w:szCs w:val="18"/>
        </w:rPr>
      </w:pPr>
      <w:r>
        <w:rPr>
          <w:rFonts w:cs="Verdana"/>
          <w:szCs w:val="18"/>
        </w:rPr>
        <w:t xml:space="preserve">OCHA </w:t>
      </w:r>
      <w:r w:rsidRPr="00C044F5">
        <w:rPr>
          <w:rFonts w:cs="Verdana"/>
          <w:szCs w:val="18"/>
        </w:rPr>
        <w:t xml:space="preserve">coördineert </w:t>
      </w:r>
      <w:r w:rsidR="00B46DA5">
        <w:rPr>
          <w:rFonts w:cs="Verdana"/>
          <w:szCs w:val="18"/>
        </w:rPr>
        <w:t xml:space="preserve">internationale </w:t>
      </w:r>
      <w:r w:rsidRPr="00C044F5">
        <w:rPr>
          <w:rFonts w:cs="Verdana"/>
          <w:szCs w:val="18"/>
        </w:rPr>
        <w:t>humanitaire hulpverlening</w:t>
      </w:r>
      <w:r w:rsidR="00ED4717">
        <w:rPr>
          <w:rFonts w:cs="Verdana"/>
          <w:szCs w:val="18"/>
        </w:rPr>
        <w:t xml:space="preserve"> </w:t>
      </w:r>
      <w:r w:rsidRPr="00C044F5">
        <w:rPr>
          <w:rFonts w:cs="Verdana"/>
          <w:szCs w:val="18"/>
        </w:rPr>
        <w:t>vanuit</w:t>
      </w:r>
      <w:r>
        <w:rPr>
          <w:rFonts w:cs="Verdana"/>
          <w:szCs w:val="18"/>
        </w:rPr>
        <w:t xml:space="preserve"> 30 landenkantoren, 6 regionale kantoren, 19 humanitaire adviesteams en 3 liaison offices </w:t>
      </w:r>
      <w:r w:rsidR="00C41379">
        <w:rPr>
          <w:rFonts w:cs="Verdana"/>
          <w:szCs w:val="18"/>
        </w:rPr>
        <w:t xml:space="preserve">in </w:t>
      </w:r>
      <w:r w:rsidRPr="00380C26">
        <w:rPr>
          <w:rFonts w:cs="Verdana"/>
          <w:szCs w:val="18"/>
        </w:rPr>
        <w:t>Brussel, Dubai en bij de Afrikaanse Unie</w:t>
      </w:r>
      <w:r>
        <w:rPr>
          <w:rFonts w:cs="Verdana"/>
          <w:szCs w:val="18"/>
        </w:rPr>
        <w:t xml:space="preserve"> (situatie begin 2017)</w:t>
      </w:r>
      <w:r w:rsidRPr="00380C26">
        <w:rPr>
          <w:rFonts w:cs="Verdana"/>
          <w:szCs w:val="18"/>
        </w:rPr>
        <w:t>.</w:t>
      </w:r>
      <w:r>
        <w:rPr>
          <w:rFonts w:cs="Verdana"/>
          <w:szCs w:val="18"/>
        </w:rPr>
        <w:t xml:space="preserve"> De presentie in het veld is dynamisch: afhankelijk van de noden sluit of opent OCHA kantoren. Vanuit de regionale</w:t>
      </w:r>
      <w:r w:rsidR="00C41379">
        <w:rPr>
          <w:rFonts w:cs="Verdana"/>
          <w:szCs w:val="18"/>
        </w:rPr>
        <w:t xml:space="preserve"> en landen</w:t>
      </w:r>
      <w:r>
        <w:rPr>
          <w:rFonts w:cs="Verdana"/>
          <w:szCs w:val="18"/>
        </w:rPr>
        <w:t>kantoren worden door OCHA de</w:t>
      </w:r>
      <w:r w:rsidRPr="00C044F5">
        <w:rPr>
          <w:rFonts w:cs="Verdana"/>
          <w:szCs w:val="18"/>
        </w:rPr>
        <w:t xml:space="preserve"> </w:t>
      </w:r>
      <w:proofErr w:type="spellStart"/>
      <w:r>
        <w:rPr>
          <w:rFonts w:cs="Verdana"/>
          <w:i/>
          <w:szCs w:val="18"/>
        </w:rPr>
        <w:t>Humanitarian</w:t>
      </w:r>
      <w:proofErr w:type="spellEnd"/>
      <w:r>
        <w:rPr>
          <w:rFonts w:cs="Verdana"/>
          <w:i/>
          <w:szCs w:val="18"/>
        </w:rPr>
        <w:t xml:space="preserve"> Country Teams (</w:t>
      </w:r>
      <w:proofErr w:type="spellStart"/>
      <w:r>
        <w:rPr>
          <w:rFonts w:cs="Verdana"/>
          <w:i/>
          <w:szCs w:val="18"/>
        </w:rPr>
        <w:t>HCT</w:t>
      </w:r>
      <w:r w:rsidR="003B3E90">
        <w:rPr>
          <w:rFonts w:cs="Verdana"/>
          <w:i/>
          <w:szCs w:val="18"/>
        </w:rPr>
        <w:t>’</w:t>
      </w:r>
      <w:r>
        <w:rPr>
          <w:rFonts w:cs="Verdana"/>
          <w:i/>
          <w:szCs w:val="18"/>
        </w:rPr>
        <w:t>s</w:t>
      </w:r>
      <w:proofErr w:type="spellEnd"/>
      <w:r>
        <w:rPr>
          <w:rFonts w:cs="Verdana"/>
          <w:i/>
          <w:szCs w:val="18"/>
        </w:rPr>
        <w:t xml:space="preserve">) </w:t>
      </w:r>
      <w:r>
        <w:rPr>
          <w:rFonts w:cs="Verdana"/>
          <w:szCs w:val="18"/>
        </w:rPr>
        <w:t>ondersteund</w:t>
      </w:r>
      <w:r w:rsidR="008864B9">
        <w:rPr>
          <w:rFonts w:cs="Verdana"/>
          <w:szCs w:val="18"/>
        </w:rPr>
        <w:t>, b</w:t>
      </w:r>
      <w:r>
        <w:rPr>
          <w:rFonts w:cs="Verdana"/>
          <w:szCs w:val="18"/>
        </w:rPr>
        <w:t>estaan</w:t>
      </w:r>
      <w:r w:rsidR="008864B9">
        <w:rPr>
          <w:rFonts w:cs="Verdana"/>
          <w:szCs w:val="18"/>
        </w:rPr>
        <w:t>d</w:t>
      </w:r>
      <w:r w:rsidR="00347ABB">
        <w:rPr>
          <w:rFonts w:cs="Verdana"/>
          <w:szCs w:val="18"/>
        </w:rPr>
        <w:t>e</w:t>
      </w:r>
      <w:r>
        <w:rPr>
          <w:rFonts w:cs="Verdana"/>
          <w:szCs w:val="18"/>
        </w:rPr>
        <w:t xml:space="preserve"> uit vertegenwoordigers van de organisaties betrokken </w:t>
      </w:r>
      <w:r w:rsidR="008864B9">
        <w:rPr>
          <w:rFonts w:cs="Verdana"/>
          <w:szCs w:val="18"/>
        </w:rPr>
        <w:t>b</w:t>
      </w:r>
      <w:r>
        <w:rPr>
          <w:rFonts w:cs="Verdana"/>
          <w:szCs w:val="18"/>
        </w:rPr>
        <w:t xml:space="preserve">ij humanitaire hulp. De </w:t>
      </w:r>
      <w:proofErr w:type="spellStart"/>
      <w:r>
        <w:rPr>
          <w:rFonts w:cs="Verdana"/>
          <w:szCs w:val="18"/>
        </w:rPr>
        <w:t>HCT</w:t>
      </w:r>
      <w:r w:rsidR="003B3E90">
        <w:rPr>
          <w:rFonts w:cs="Verdana"/>
          <w:szCs w:val="18"/>
        </w:rPr>
        <w:t>’</w:t>
      </w:r>
      <w:r>
        <w:rPr>
          <w:rFonts w:cs="Verdana"/>
          <w:szCs w:val="18"/>
        </w:rPr>
        <w:t>s</w:t>
      </w:r>
      <w:proofErr w:type="spellEnd"/>
      <w:r w:rsidR="00C803EE">
        <w:rPr>
          <w:rFonts w:cs="Verdana"/>
          <w:szCs w:val="18"/>
        </w:rPr>
        <w:t>,</w:t>
      </w:r>
      <w:r w:rsidR="004D1729">
        <w:rPr>
          <w:rFonts w:cs="Verdana"/>
          <w:szCs w:val="18"/>
        </w:rPr>
        <w:t xml:space="preserve"> voorgezeten </w:t>
      </w:r>
      <w:r w:rsidR="008864B9">
        <w:rPr>
          <w:rFonts w:cs="Verdana"/>
          <w:szCs w:val="18"/>
        </w:rPr>
        <w:t xml:space="preserve">door </w:t>
      </w:r>
      <w:r w:rsidR="008864B9" w:rsidRPr="008864B9">
        <w:rPr>
          <w:rFonts w:cs="Verdana"/>
          <w:szCs w:val="18"/>
        </w:rPr>
        <w:t>humanitaire coördinatoren</w:t>
      </w:r>
      <w:r w:rsidR="008864B9">
        <w:rPr>
          <w:rFonts w:cs="Verdana"/>
          <w:szCs w:val="18"/>
        </w:rPr>
        <w:t xml:space="preserve"> (</w:t>
      </w:r>
      <w:proofErr w:type="spellStart"/>
      <w:r w:rsidR="008864B9">
        <w:rPr>
          <w:rFonts w:cs="Verdana"/>
          <w:szCs w:val="18"/>
        </w:rPr>
        <w:t>HC</w:t>
      </w:r>
      <w:r w:rsidR="003B3E90">
        <w:rPr>
          <w:rFonts w:cs="Verdana"/>
          <w:szCs w:val="18"/>
        </w:rPr>
        <w:t>’</w:t>
      </w:r>
      <w:r w:rsidR="008864B9">
        <w:rPr>
          <w:rFonts w:cs="Verdana"/>
          <w:szCs w:val="18"/>
        </w:rPr>
        <w:t>s</w:t>
      </w:r>
      <w:proofErr w:type="spellEnd"/>
      <w:r w:rsidR="008864B9">
        <w:rPr>
          <w:rFonts w:cs="Verdana"/>
          <w:szCs w:val="18"/>
        </w:rPr>
        <w:t>)</w:t>
      </w:r>
      <w:r w:rsidR="00C803EE">
        <w:rPr>
          <w:rFonts w:cs="Verdana"/>
          <w:szCs w:val="18"/>
        </w:rPr>
        <w:t>,</w:t>
      </w:r>
      <w:r w:rsidR="008864B9">
        <w:rPr>
          <w:rFonts w:cs="Verdana"/>
          <w:szCs w:val="18"/>
        </w:rPr>
        <w:t xml:space="preserve"> </w:t>
      </w:r>
      <w:r>
        <w:rPr>
          <w:rFonts w:cs="Verdana"/>
          <w:szCs w:val="18"/>
        </w:rPr>
        <w:t>zijn v</w:t>
      </w:r>
      <w:r w:rsidRPr="00EF6566">
        <w:rPr>
          <w:rFonts w:cs="Verdana"/>
          <w:szCs w:val="18"/>
        </w:rPr>
        <w:t xml:space="preserve">erantwoordelijk </w:t>
      </w:r>
      <w:r>
        <w:rPr>
          <w:rFonts w:cs="Verdana"/>
          <w:szCs w:val="18"/>
        </w:rPr>
        <w:t>voor</w:t>
      </w:r>
      <w:r w:rsidRPr="00EF6566">
        <w:rPr>
          <w:rFonts w:cs="Verdana"/>
          <w:szCs w:val="18"/>
        </w:rPr>
        <w:t xml:space="preserve"> overeenstemming </w:t>
      </w:r>
      <w:r w:rsidR="008864B9">
        <w:rPr>
          <w:rFonts w:cs="Verdana"/>
          <w:szCs w:val="18"/>
        </w:rPr>
        <w:t>over</w:t>
      </w:r>
      <w:r w:rsidRPr="00EF6566">
        <w:rPr>
          <w:rFonts w:cs="Verdana"/>
          <w:szCs w:val="18"/>
        </w:rPr>
        <w:t xml:space="preserve"> strategische en operationele kwesties</w:t>
      </w:r>
      <w:r w:rsidR="00C41379">
        <w:rPr>
          <w:rFonts w:cs="Verdana"/>
          <w:szCs w:val="18"/>
        </w:rPr>
        <w:t xml:space="preserve"> tussen de VN en andere actoren</w:t>
      </w:r>
      <w:r>
        <w:rPr>
          <w:rFonts w:cs="Verdana"/>
          <w:szCs w:val="18"/>
        </w:rPr>
        <w:t xml:space="preserve">. </w:t>
      </w:r>
      <w:proofErr w:type="spellStart"/>
      <w:r>
        <w:rPr>
          <w:rFonts w:cs="Verdana"/>
          <w:szCs w:val="18"/>
        </w:rPr>
        <w:t>OCHA’s</w:t>
      </w:r>
      <w:proofErr w:type="spellEnd"/>
      <w:r>
        <w:rPr>
          <w:rFonts w:cs="Verdana"/>
          <w:szCs w:val="18"/>
        </w:rPr>
        <w:t xml:space="preserve"> taak is om de </w:t>
      </w:r>
      <w:proofErr w:type="spellStart"/>
      <w:r>
        <w:rPr>
          <w:rFonts w:cs="Verdana"/>
          <w:szCs w:val="18"/>
        </w:rPr>
        <w:t>HC</w:t>
      </w:r>
      <w:r w:rsidR="003B3E90">
        <w:rPr>
          <w:rFonts w:cs="Verdana"/>
          <w:szCs w:val="18"/>
        </w:rPr>
        <w:t>’</w:t>
      </w:r>
      <w:r>
        <w:rPr>
          <w:rFonts w:cs="Verdana"/>
          <w:szCs w:val="18"/>
        </w:rPr>
        <w:t>s</w:t>
      </w:r>
      <w:proofErr w:type="spellEnd"/>
      <w:r>
        <w:rPr>
          <w:rFonts w:cs="Verdana"/>
          <w:szCs w:val="18"/>
        </w:rPr>
        <w:t xml:space="preserve"> te ondersteunen </w:t>
      </w:r>
      <w:r w:rsidR="00C41379">
        <w:rPr>
          <w:rFonts w:cs="Verdana"/>
          <w:szCs w:val="18"/>
        </w:rPr>
        <w:t>en</w:t>
      </w:r>
      <w:r>
        <w:rPr>
          <w:rFonts w:cs="Verdana"/>
          <w:szCs w:val="18"/>
        </w:rPr>
        <w:t xml:space="preserve"> </w:t>
      </w:r>
      <w:r w:rsidR="00C803EE">
        <w:rPr>
          <w:rFonts w:cs="Verdana"/>
          <w:szCs w:val="18"/>
        </w:rPr>
        <w:t xml:space="preserve">zodoende </w:t>
      </w:r>
      <w:r w:rsidRPr="00C044F5">
        <w:rPr>
          <w:rFonts w:cs="Verdana"/>
          <w:szCs w:val="18"/>
        </w:rPr>
        <w:t>betere coördinatie van humanitaire hulp te realiseren</w:t>
      </w:r>
      <w:r>
        <w:rPr>
          <w:rFonts w:cs="Verdana"/>
          <w:szCs w:val="18"/>
        </w:rPr>
        <w:t>.</w:t>
      </w:r>
      <w:r w:rsidRPr="00CB3353">
        <w:rPr>
          <w:rFonts w:cs="Verdana"/>
          <w:szCs w:val="18"/>
        </w:rPr>
        <w:t xml:space="preserve"> </w:t>
      </w:r>
      <w:r w:rsidR="00C41379">
        <w:rPr>
          <w:rFonts w:cs="Verdana"/>
          <w:szCs w:val="18"/>
        </w:rPr>
        <w:t xml:space="preserve">Een </w:t>
      </w:r>
      <w:r w:rsidRPr="00CB3353">
        <w:rPr>
          <w:rFonts w:cs="Verdana"/>
          <w:szCs w:val="18"/>
        </w:rPr>
        <w:t xml:space="preserve">HC </w:t>
      </w:r>
      <w:r>
        <w:rPr>
          <w:rFonts w:cs="Verdana"/>
          <w:szCs w:val="18"/>
        </w:rPr>
        <w:t xml:space="preserve">wordt aangesteld </w:t>
      </w:r>
      <w:r w:rsidR="00C41379">
        <w:rPr>
          <w:rFonts w:cs="Verdana"/>
          <w:szCs w:val="18"/>
        </w:rPr>
        <w:t xml:space="preserve">in </w:t>
      </w:r>
      <w:r w:rsidR="001A694B">
        <w:rPr>
          <w:rFonts w:cs="Verdana"/>
          <w:szCs w:val="18"/>
        </w:rPr>
        <w:t xml:space="preserve">de </w:t>
      </w:r>
      <w:r w:rsidRPr="00CB3353">
        <w:rPr>
          <w:rFonts w:cs="Verdana"/>
          <w:szCs w:val="18"/>
        </w:rPr>
        <w:t>grote</w:t>
      </w:r>
      <w:r w:rsidR="001A694B">
        <w:rPr>
          <w:rFonts w:cs="Verdana"/>
          <w:szCs w:val="18"/>
        </w:rPr>
        <w:t>re</w:t>
      </w:r>
      <w:r w:rsidRPr="00CB3353">
        <w:rPr>
          <w:rFonts w:cs="Verdana"/>
          <w:szCs w:val="18"/>
        </w:rPr>
        <w:t xml:space="preserve"> </w:t>
      </w:r>
      <w:r w:rsidR="00347ABB">
        <w:rPr>
          <w:rFonts w:cs="Verdana"/>
          <w:szCs w:val="18"/>
        </w:rPr>
        <w:t xml:space="preserve">humanitaire </w:t>
      </w:r>
      <w:r w:rsidRPr="00CB3353">
        <w:rPr>
          <w:rFonts w:cs="Verdana"/>
          <w:szCs w:val="18"/>
        </w:rPr>
        <w:t xml:space="preserve">crises, </w:t>
      </w:r>
      <w:r>
        <w:rPr>
          <w:rFonts w:cs="Verdana"/>
          <w:szCs w:val="18"/>
        </w:rPr>
        <w:t xml:space="preserve">waarbij </w:t>
      </w:r>
      <w:r w:rsidR="00C41379">
        <w:rPr>
          <w:rFonts w:cs="Verdana"/>
          <w:szCs w:val="18"/>
        </w:rPr>
        <w:t xml:space="preserve">vaak een gezamenlijk VN-appeal wordt uitgeroepen en </w:t>
      </w:r>
      <w:r>
        <w:rPr>
          <w:rFonts w:cs="Verdana"/>
          <w:szCs w:val="18"/>
        </w:rPr>
        <w:t>de clusteraanpak</w:t>
      </w:r>
      <w:r w:rsidRPr="00CB3353">
        <w:rPr>
          <w:rFonts w:cs="Verdana"/>
          <w:szCs w:val="18"/>
        </w:rPr>
        <w:t xml:space="preserve"> </w:t>
      </w:r>
      <w:r>
        <w:rPr>
          <w:rFonts w:cs="Verdana"/>
          <w:szCs w:val="18"/>
        </w:rPr>
        <w:t>gedeeltelijk of volledig in werking wordt gesteld.</w:t>
      </w:r>
      <w:r w:rsidR="00E4642E">
        <w:rPr>
          <w:rFonts w:cs="Verdana"/>
          <w:szCs w:val="18"/>
        </w:rPr>
        <w:t xml:space="preserve"> </w:t>
      </w:r>
      <w:r w:rsidR="00514E32">
        <w:rPr>
          <w:rFonts w:cs="Verdana"/>
          <w:szCs w:val="18"/>
        </w:rPr>
        <w:t xml:space="preserve"> </w:t>
      </w:r>
      <w:r>
        <w:rPr>
          <w:rFonts w:cs="Verdana"/>
          <w:szCs w:val="18"/>
        </w:rPr>
        <w:t xml:space="preserve">Een cluster wordt geleid en gecoördineerd door </w:t>
      </w:r>
      <w:r w:rsidRPr="00CB3353">
        <w:rPr>
          <w:rFonts w:cs="Verdana"/>
          <w:szCs w:val="18"/>
        </w:rPr>
        <w:t>één VN-organisatie</w:t>
      </w:r>
      <w:r w:rsidR="004D1729">
        <w:rPr>
          <w:rFonts w:cs="Verdana"/>
          <w:szCs w:val="18"/>
        </w:rPr>
        <w:t xml:space="preserve">, vaak </w:t>
      </w:r>
      <w:r w:rsidRPr="00CB3353">
        <w:rPr>
          <w:rFonts w:cs="Verdana"/>
          <w:szCs w:val="18"/>
        </w:rPr>
        <w:t>gedeeld met een NGO</w:t>
      </w:r>
      <w:r>
        <w:rPr>
          <w:rFonts w:cs="Verdana"/>
          <w:szCs w:val="18"/>
        </w:rPr>
        <w:t>.</w:t>
      </w:r>
      <w:r w:rsidRPr="00CB3353">
        <w:rPr>
          <w:rFonts w:cs="Verdana"/>
          <w:szCs w:val="18"/>
        </w:rPr>
        <w:t xml:space="preserve"> OCHA </w:t>
      </w:r>
      <w:r w:rsidR="004D1729">
        <w:rPr>
          <w:rFonts w:cs="Verdana"/>
          <w:szCs w:val="18"/>
        </w:rPr>
        <w:t>faciliteert</w:t>
      </w:r>
      <w:r w:rsidR="004D1729" w:rsidRPr="00CB3353">
        <w:rPr>
          <w:rFonts w:cs="Verdana"/>
          <w:szCs w:val="18"/>
        </w:rPr>
        <w:t xml:space="preserve"> </w:t>
      </w:r>
      <w:r w:rsidRPr="00CB3353">
        <w:rPr>
          <w:rFonts w:cs="Verdana"/>
          <w:szCs w:val="18"/>
        </w:rPr>
        <w:t>de coördinatie en afstemming tussen de clusters</w:t>
      </w:r>
      <w:r w:rsidR="00F20911">
        <w:rPr>
          <w:rFonts w:cs="Verdana"/>
          <w:szCs w:val="18"/>
        </w:rPr>
        <w:t xml:space="preserve"> en speelt een sleutelrol in het beschikbaar maken van informatie over aanwezige noden en de respons daarop</w:t>
      </w:r>
      <w:r w:rsidRPr="00CB3353">
        <w:rPr>
          <w:rFonts w:cs="Verdana"/>
          <w:szCs w:val="18"/>
        </w:rPr>
        <w:t xml:space="preserve">. </w:t>
      </w:r>
      <w:r w:rsidR="00F9482C">
        <w:rPr>
          <w:rFonts w:cs="Verdana"/>
          <w:szCs w:val="18"/>
        </w:rPr>
        <w:t xml:space="preserve">Deze </w:t>
      </w:r>
      <w:proofErr w:type="spellStart"/>
      <w:r w:rsidR="00F9482C">
        <w:rPr>
          <w:rFonts w:cs="Verdana"/>
          <w:szCs w:val="18"/>
        </w:rPr>
        <w:t>HC</w:t>
      </w:r>
      <w:r w:rsidR="003B3E90">
        <w:rPr>
          <w:rFonts w:cs="Verdana"/>
          <w:szCs w:val="18"/>
        </w:rPr>
        <w:t>’</w:t>
      </w:r>
      <w:r w:rsidR="00F9482C">
        <w:rPr>
          <w:rFonts w:cs="Verdana"/>
          <w:szCs w:val="18"/>
        </w:rPr>
        <w:t>s</w:t>
      </w:r>
      <w:proofErr w:type="spellEnd"/>
      <w:r w:rsidR="00F9482C">
        <w:rPr>
          <w:rFonts w:cs="Verdana"/>
          <w:szCs w:val="18"/>
        </w:rPr>
        <w:t xml:space="preserve"> zijn vrijwel altijd ook de </w:t>
      </w:r>
      <w:r w:rsidR="00501C53" w:rsidRPr="00876169">
        <w:rPr>
          <w:rFonts w:cs="Verdana"/>
          <w:i/>
          <w:szCs w:val="18"/>
        </w:rPr>
        <w:t>UN</w:t>
      </w:r>
      <w:r w:rsidR="00F9482C">
        <w:rPr>
          <w:rFonts w:cs="Verdana"/>
          <w:szCs w:val="18"/>
        </w:rPr>
        <w:t xml:space="preserve"> </w:t>
      </w:r>
      <w:r w:rsidR="00F9482C" w:rsidRPr="00F9482C">
        <w:rPr>
          <w:rFonts w:cs="Verdana"/>
          <w:i/>
          <w:szCs w:val="18"/>
        </w:rPr>
        <w:t xml:space="preserve">Resident </w:t>
      </w:r>
      <w:proofErr w:type="spellStart"/>
      <w:r w:rsidR="00F9482C" w:rsidRPr="00CB0927">
        <w:rPr>
          <w:rFonts w:cs="Verdana"/>
          <w:i/>
          <w:szCs w:val="18"/>
        </w:rPr>
        <w:t>Coordinator</w:t>
      </w:r>
      <w:proofErr w:type="spellEnd"/>
      <w:r w:rsidR="00CB0927" w:rsidRPr="00CB0927">
        <w:rPr>
          <w:rFonts w:cs="Verdana"/>
          <w:i/>
          <w:szCs w:val="18"/>
        </w:rPr>
        <w:t xml:space="preserve"> (RC)</w:t>
      </w:r>
      <w:r w:rsidR="00501C53" w:rsidRPr="00876169">
        <w:rPr>
          <w:rFonts w:cs="Verdana"/>
          <w:i/>
          <w:szCs w:val="18"/>
        </w:rPr>
        <w:t>.</w:t>
      </w:r>
      <w:r w:rsidR="00F9482C">
        <w:rPr>
          <w:rFonts w:cs="Verdana"/>
          <w:szCs w:val="18"/>
        </w:rPr>
        <w:t xml:space="preserve"> </w:t>
      </w:r>
      <w:r w:rsidRPr="00CB3353">
        <w:rPr>
          <w:rFonts w:cs="Verdana"/>
          <w:szCs w:val="18"/>
        </w:rPr>
        <w:t xml:space="preserve">In landen waar geen HC </w:t>
      </w:r>
      <w:r>
        <w:rPr>
          <w:rFonts w:cs="Verdana"/>
          <w:szCs w:val="18"/>
        </w:rPr>
        <w:t xml:space="preserve">aanwezig </w:t>
      </w:r>
      <w:r w:rsidRPr="00EB140E">
        <w:rPr>
          <w:rFonts w:cs="Verdana"/>
          <w:szCs w:val="18"/>
        </w:rPr>
        <w:t>is, wordt de humanitair</w:t>
      </w:r>
      <w:r w:rsidR="00876169">
        <w:rPr>
          <w:rFonts w:cs="Verdana"/>
          <w:szCs w:val="18"/>
        </w:rPr>
        <w:t xml:space="preserve">e coördinatie vervuld door de </w:t>
      </w:r>
      <w:r w:rsidR="00CB0927">
        <w:rPr>
          <w:rFonts w:cs="Verdana"/>
          <w:szCs w:val="18"/>
        </w:rPr>
        <w:t>RC</w:t>
      </w:r>
      <w:r w:rsidRPr="00EB140E">
        <w:rPr>
          <w:rFonts w:cs="Verdana"/>
          <w:szCs w:val="18"/>
        </w:rPr>
        <w:t xml:space="preserve">. Het aantal </w:t>
      </w:r>
      <w:proofErr w:type="spellStart"/>
      <w:r w:rsidRPr="00EB140E">
        <w:rPr>
          <w:rFonts w:cs="Verdana"/>
          <w:szCs w:val="18"/>
        </w:rPr>
        <w:t>HC</w:t>
      </w:r>
      <w:r w:rsidR="003B3E90">
        <w:rPr>
          <w:rFonts w:cs="Verdana"/>
          <w:szCs w:val="18"/>
        </w:rPr>
        <w:t>’</w:t>
      </w:r>
      <w:r w:rsidRPr="00EB140E">
        <w:rPr>
          <w:rFonts w:cs="Verdana"/>
          <w:szCs w:val="18"/>
        </w:rPr>
        <w:t>s</w:t>
      </w:r>
      <w:proofErr w:type="spellEnd"/>
      <w:r w:rsidRPr="00EB140E">
        <w:rPr>
          <w:rFonts w:cs="Verdana"/>
          <w:szCs w:val="18"/>
        </w:rPr>
        <w:t xml:space="preserve"> is de afgelopen jaren flink gegroeid en betreft op het moment 30 personen</w:t>
      </w:r>
      <w:r>
        <w:rPr>
          <w:rFonts w:cs="Verdana"/>
          <w:szCs w:val="18"/>
        </w:rPr>
        <w:t xml:space="preserve">. </w:t>
      </w:r>
      <w:r w:rsidRPr="00EB140E">
        <w:rPr>
          <w:rFonts w:cs="Verdana"/>
          <w:szCs w:val="18"/>
        </w:rPr>
        <w:t xml:space="preserve">Daarnaast zijn er nog 2 </w:t>
      </w:r>
      <w:r w:rsidRPr="008864B9">
        <w:rPr>
          <w:rFonts w:cs="Verdana"/>
          <w:szCs w:val="18"/>
        </w:rPr>
        <w:t xml:space="preserve">Regionale </w:t>
      </w:r>
      <w:proofErr w:type="spellStart"/>
      <w:r w:rsidRPr="008864B9">
        <w:rPr>
          <w:rFonts w:cs="Verdana"/>
          <w:szCs w:val="18"/>
        </w:rPr>
        <w:t>H</w:t>
      </w:r>
      <w:r w:rsidR="00876169">
        <w:rPr>
          <w:rFonts w:cs="Verdana"/>
          <w:szCs w:val="18"/>
        </w:rPr>
        <w:t>C</w:t>
      </w:r>
      <w:r w:rsidR="003B3E90">
        <w:rPr>
          <w:rFonts w:cs="Verdana"/>
          <w:szCs w:val="18"/>
        </w:rPr>
        <w:t>’</w:t>
      </w:r>
      <w:r w:rsidR="00876169">
        <w:rPr>
          <w:rFonts w:cs="Verdana"/>
          <w:szCs w:val="18"/>
        </w:rPr>
        <w:t>s</w:t>
      </w:r>
      <w:proofErr w:type="spellEnd"/>
      <w:r w:rsidRPr="00EB140E">
        <w:rPr>
          <w:rFonts w:cs="Verdana"/>
          <w:i/>
          <w:szCs w:val="18"/>
        </w:rPr>
        <w:t>.</w:t>
      </w:r>
      <w:r w:rsidRPr="00EB140E">
        <w:rPr>
          <w:rFonts w:cs="Verdana"/>
          <w:szCs w:val="18"/>
        </w:rPr>
        <w:t xml:space="preserve"> </w:t>
      </w:r>
    </w:p>
    <w:p w14:paraId="3D10B46F" w14:textId="77777777" w:rsidR="009E539D" w:rsidRDefault="009E539D" w:rsidP="009E539D">
      <w:pPr>
        <w:autoSpaceDE w:val="0"/>
        <w:autoSpaceDN w:val="0"/>
        <w:adjustRightInd w:val="0"/>
        <w:spacing w:line="240" w:lineRule="auto"/>
        <w:rPr>
          <w:rFonts w:cs="Verdana"/>
          <w:szCs w:val="18"/>
        </w:rPr>
      </w:pPr>
    </w:p>
    <w:p w14:paraId="3D10B470" w14:textId="39E9EE78" w:rsidR="009E539D" w:rsidRDefault="004D1729" w:rsidP="009E539D">
      <w:pPr>
        <w:autoSpaceDE w:val="0"/>
        <w:autoSpaceDN w:val="0"/>
        <w:adjustRightInd w:val="0"/>
        <w:spacing w:line="240" w:lineRule="auto"/>
        <w:rPr>
          <w:rFonts w:cs="Verdana"/>
          <w:szCs w:val="18"/>
        </w:rPr>
      </w:pPr>
      <w:r>
        <w:rPr>
          <w:rFonts w:cs="Verdana"/>
          <w:szCs w:val="18"/>
        </w:rPr>
        <w:t xml:space="preserve">De </w:t>
      </w:r>
      <w:r w:rsidR="009E539D" w:rsidRPr="00C044F5">
        <w:rPr>
          <w:rFonts w:cs="Verdana"/>
          <w:szCs w:val="18"/>
        </w:rPr>
        <w:t>Ondersecretaris-Generaal</w:t>
      </w:r>
      <w:r>
        <w:rPr>
          <w:rFonts w:cs="Verdana"/>
          <w:szCs w:val="18"/>
        </w:rPr>
        <w:t xml:space="preserve"> (USG)</w:t>
      </w:r>
      <w:r w:rsidR="00336E85">
        <w:rPr>
          <w:rFonts w:cs="Verdana"/>
          <w:szCs w:val="18"/>
        </w:rPr>
        <w:t xml:space="preserve"> voor humanitaire hulp</w:t>
      </w:r>
      <w:r>
        <w:rPr>
          <w:rFonts w:cs="Verdana"/>
          <w:szCs w:val="18"/>
        </w:rPr>
        <w:t xml:space="preserve"> </w:t>
      </w:r>
      <w:r w:rsidR="009E539D" w:rsidRPr="00C044F5">
        <w:rPr>
          <w:rFonts w:cs="Verdana"/>
          <w:szCs w:val="18"/>
        </w:rPr>
        <w:t>van</w:t>
      </w:r>
      <w:r w:rsidR="009E539D">
        <w:rPr>
          <w:rFonts w:cs="Verdana"/>
          <w:szCs w:val="18"/>
        </w:rPr>
        <w:t xml:space="preserve"> de VN </w:t>
      </w:r>
      <w:r>
        <w:rPr>
          <w:rFonts w:cs="Verdana"/>
          <w:szCs w:val="18"/>
        </w:rPr>
        <w:t>staat aan het hoofd van OCHA</w:t>
      </w:r>
      <w:r w:rsidR="009E539D">
        <w:rPr>
          <w:rFonts w:cs="Verdana"/>
          <w:szCs w:val="18"/>
        </w:rPr>
        <w:t xml:space="preserve">. Sinds 2015 is dit de Brit Stephen </w:t>
      </w:r>
      <w:proofErr w:type="spellStart"/>
      <w:r w:rsidR="009E539D">
        <w:rPr>
          <w:rFonts w:cs="Verdana"/>
          <w:szCs w:val="18"/>
        </w:rPr>
        <w:t>O’Brien</w:t>
      </w:r>
      <w:proofErr w:type="spellEnd"/>
      <w:r w:rsidR="009E539D" w:rsidRPr="00C044F5">
        <w:rPr>
          <w:rFonts w:cs="Verdana"/>
          <w:szCs w:val="18"/>
        </w:rPr>
        <w:t>.</w:t>
      </w:r>
      <w:r w:rsidR="009D4AA1">
        <w:rPr>
          <w:rFonts w:cs="Verdana"/>
          <w:szCs w:val="18"/>
        </w:rPr>
        <w:t xml:space="preserve"> In mei jl. heeft de Secretaris-Generaal van de VN bekend gemaakt dat hij per 1 september 2017 zal worden opgevolgd door de Brit Mark </w:t>
      </w:r>
      <w:proofErr w:type="spellStart"/>
      <w:r w:rsidR="009D4AA1">
        <w:rPr>
          <w:rFonts w:cs="Verdana"/>
          <w:szCs w:val="18"/>
        </w:rPr>
        <w:t>Lowcock</w:t>
      </w:r>
      <w:proofErr w:type="spellEnd"/>
      <w:r w:rsidR="009D4AA1">
        <w:rPr>
          <w:rFonts w:cs="Verdana"/>
          <w:szCs w:val="18"/>
        </w:rPr>
        <w:t>.</w:t>
      </w:r>
      <w:r w:rsidR="009E539D" w:rsidRPr="00C044F5">
        <w:rPr>
          <w:rFonts w:cs="Verdana"/>
          <w:szCs w:val="18"/>
        </w:rPr>
        <w:t xml:space="preserve"> </w:t>
      </w:r>
      <w:r w:rsidR="009E539D">
        <w:rPr>
          <w:rFonts w:cs="Verdana"/>
          <w:szCs w:val="18"/>
        </w:rPr>
        <w:t>De USG</w:t>
      </w:r>
      <w:r w:rsidR="009E539D" w:rsidRPr="00C044F5">
        <w:rPr>
          <w:rFonts w:cs="Verdana"/>
          <w:szCs w:val="18"/>
        </w:rPr>
        <w:t xml:space="preserve"> is tevens wereldwijd de coördinator voor internation</w:t>
      </w:r>
      <w:r w:rsidR="009E539D">
        <w:rPr>
          <w:rFonts w:cs="Verdana"/>
          <w:szCs w:val="18"/>
        </w:rPr>
        <w:t>ale humanitaire hulp (</w:t>
      </w:r>
      <w:proofErr w:type="spellStart"/>
      <w:r w:rsidR="00501C53" w:rsidRPr="009D4AA1">
        <w:rPr>
          <w:rFonts w:cs="Verdana"/>
          <w:i/>
          <w:szCs w:val="18"/>
        </w:rPr>
        <w:t>Emergency</w:t>
      </w:r>
      <w:proofErr w:type="spellEnd"/>
      <w:r w:rsidR="00501C53" w:rsidRPr="009D4AA1">
        <w:rPr>
          <w:rFonts w:cs="Verdana"/>
          <w:i/>
          <w:szCs w:val="18"/>
        </w:rPr>
        <w:t xml:space="preserve"> </w:t>
      </w:r>
      <w:proofErr w:type="spellStart"/>
      <w:r w:rsidR="00501C53" w:rsidRPr="009D4AA1">
        <w:rPr>
          <w:rFonts w:cs="Verdana"/>
          <w:i/>
          <w:szCs w:val="18"/>
        </w:rPr>
        <w:t>Relief</w:t>
      </w:r>
      <w:proofErr w:type="spellEnd"/>
      <w:r w:rsidR="00501C53" w:rsidRPr="009D4AA1">
        <w:rPr>
          <w:rFonts w:cs="Verdana"/>
          <w:i/>
          <w:szCs w:val="18"/>
        </w:rPr>
        <w:t xml:space="preserve"> </w:t>
      </w:r>
      <w:proofErr w:type="spellStart"/>
      <w:r w:rsidR="00501C53" w:rsidRPr="009D4AA1">
        <w:rPr>
          <w:rFonts w:cs="Verdana"/>
          <w:i/>
          <w:szCs w:val="18"/>
        </w:rPr>
        <w:t>Coordinator</w:t>
      </w:r>
      <w:proofErr w:type="spellEnd"/>
      <w:r w:rsidR="009E539D">
        <w:rPr>
          <w:rFonts w:cs="Verdana"/>
          <w:szCs w:val="18"/>
        </w:rPr>
        <w:t xml:space="preserve"> – ERC)</w:t>
      </w:r>
      <w:r w:rsidR="009E539D" w:rsidRPr="00C044F5">
        <w:rPr>
          <w:rFonts w:cs="Verdana"/>
          <w:szCs w:val="18"/>
        </w:rPr>
        <w:t>.</w:t>
      </w:r>
      <w:r w:rsidR="009E539D">
        <w:rPr>
          <w:rFonts w:cs="Verdana"/>
          <w:szCs w:val="18"/>
        </w:rPr>
        <w:t xml:space="preserve"> </w:t>
      </w:r>
      <w:r w:rsidR="0010423D">
        <w:rPr>
          <w:rFonts w:cs="Verdana"/>
          <w:szCs w:val="18"/>
        </w:rPr>
        <w:t xml:space="preserve">De ERC is ook de voorzitter van de </w:t>
      </w:r>
      <w:proofErr w:type="spellStart"/>
      <w:r w:rsidR="00501C53" w:rsidRPr="009D4AA1">
        <w:rPr>
          <w:rFonts w:cs="Verdana"/>
          <w:i/>
          <w:szCs w:val="18"/>
        </w:rPr>
        <w:t>Interagency</w:t>
      </w:r>
      <w:proofErr w:type="spellEnd"/>
      <w:r w:rsidR="00501C53" w:rsidRPr="009D4AA1">
        <w:rPr>
          <w:rFonts w:cs="Verdana"/>
          <w:i/>
          <w:szCs w:val="18"/>
        </w:rPr>
        <w:t xml:space="preserve"> Standing </w:t>
      </w:r>
      <w:proofErr w:type="spellStart"/>
      <w:r w:rsidR="00501C53" w:rsidRPr="009D4AA1">
        <w:rPr>
          <w:rFonts w:cs="Verdana"/>
          <w:i/>
          <w:szCs w:val="18"/>
        </w:rPr>
        <w:t>Committee</w:t>
      </w:r>
      <w:proofErr w:type="spellEnd"/>
      <w:r w:rsidR="0010423D">
        <w:rPr>
          <w:rFonts w:cs="Verdana"/>
          <w:szCs w:val="18"/>
        </w:rPr>
        <w:t xml:space="preserve"> van de VN (IASC). De IASC is in 1991 ingesteld (resolutie 46/182) en bestaat uit de </w:t>
      </w:r>
      <w:r>
        <w:rPr>
          <w:rFonts w:cs="Verdana"/>
          <w:szCs w:val="18"/>
        </w:rPr>
        <w:t>hoofden</w:t>
      </w:r>
      <w:r w:rsidR="0010423D">
        <w:rPr>
          <w:rFonts w:cs="Verdana"/>
          <w:szCs w:val="18"/>
        </w:rPr>
        <w:t xml:space="preserve"> van humanitaire </w:t>
      </w:r>
      <w:r>
        <w:rPr>
          <w:rFonts w:cs="Verdana"/>
          <w:szCs w:val="18"/>
        </w:rPr>
        <w:t>VN</w:t>
      </w:r>
      <w:r w:rsidR="005321F1">
        <w:rPr>
          <w:rFonts w:cs="Verdana"/>
          <w:szCs w:val="18"/>
        </w:rPr>
        <w:t>-</w:t>
      </w:r>
      <w:r w:rsidR="0010423D">
        <w:rPr>
          <w:rFonts w:cs="Verdana"/>
          <w:szCs w:val="18"/>
        </w:rPr>
        <w:t>organisaties.</w:t>
      </w:r>
      <w:r w:rsidR="00C31651">
        <w:rPr>
          <w:rStyle w:val="FootnoteReference"/>
          <w:rFonts w:cs="Verdana"/>
          <w:szCs w:val="18"/>
        </w:rPr>
        <w:footnoteReference w:id="3"/>
      </w:r>
      <w:r w:rsidR="0010423D">
        <w:rPr>
          <w:rFonts w:cs="Verdana"/>
          <w:szCs w:val="18"/>
        </w:rPr>
        <w:t xml:space="preserve"> De IASC stelt op </w:t>
      </w:r>
      <w:r w:rsidR="00336E85">
        <w:rPr>
          <w:rFonts w:cs="Verdana"/>
          <w:szCs w:val="18"/>
        </w:rPr>
        <w:t xml:space="preserve">het </w:t>
      </w:r>
      <w:r w:rsidR="0010423D">
        <w:rPr>
          <w:rFonts w:cs="Verdana"/>
          <w:szCs w:val="18"/>
        </w:rPr>
        <w:t>hoogste niveau het integrale gezamenlijke VN-beleid vast op basis van IASC-</w:t>
      </w:r>
      <w:proofErr w:type="spellStart"/>
      <w:r w:rsidR="0010423D" w:rsidRPr="003B3E90">
        <w:rPr>
          <w:rFonts w:cs="Verdana"/>
          <w:i/>
          <w:szCs w:val="18"/>
        </w:rPr>
        <w:t>guidelines</w:t>
      </w:r>
      <w:proofErr w:type="spellEnd"/>
      <w:r w:rsidR="0010423D">
        <w:rPr>
          <w:rFonts w:cs="Verdana"/>
          <w:szCs w:val="18"/>
        </w:rPr>
        <w:t xml:space="preserve"> en prioriteiten</w:t>
      </w:r>
      <w:r w:rsidR="00C803EE">
        <w:rPr>
          <w:rFonts w:cs="Verdana"/>
          <w:szCs w:val="18"/>
        </w:rPr>
        <w:t xml:space="preserve"> en roept wanneer systeemwijde actie vereist is </w:t>
      </w:r>
      <w:r w:rsidR="0010423D">
        <w:rPr>
          <w:rFonts w:cs="Verdana"/>
          <w:szCs w:val="18"/>
        </w:rPr>
        <w:t xml:space="preserve">de </w:t>
      </w:r>
      <w:r w:rsidR="002A42EB">
        <w:rPr>
          <w:rFonts w:cs="Verdana"/>
          <w:szCs w:val="18"/>
        </w:rPr>
        <w:t>z</w:t>
      </w:r>
      <w:r w:rsidR="00CB0927">
        <w:rPr>
          <w:rFonts w:cs="Verdana"/>
          <w:szCs w:val="18"/>
        </w:rPr>
        <w:t>ogenaamde</w:t>
      </w:r>
      <w:r w:rsidR="002A42EB">
        <w:rPr>
          <w:rFonts w:cs="Verdana"/>
          <w:szCs w:val="18"/>
        </w:rPr>
        <w:t xml:space="preserve"> </w:t>
      </w:r>
      <w:r w:rsidR="0010423D">
        <w:rPr>
          <w:rFonts w:cs="Verdana"/>
          <w:szCs w:val="18"/>
        </w:rPr>
        <w:t xml:space="preserve">L-3 crises uit. </w:t>
      </w:r>
      <w:r w:rsidR="00BD7074">
        <w:rPr>
          <w:rFonts w:cs="Verdana"/>
          <w:szCs w:val="18"/>
        </w:rPr>
        <w:t xml:space="preserve">Voor de IASC-vergaderingen en –werkgroepen worden ook een aantal NGO-koepels, de Rode Kruisbeweging en de Wereldbank standaard uitgenodigd. </w:t>
      </w:r>
    </w:p>
    <w:p w14:paraId="3D10B471" w14:textId="77777777" w:rsidR="006A3C0C" w:rsidRDefault="006A3C0C" w:rsidP="009E539D">
      <w:pPr>
        <w:autoSpaceDE w:val="0"/>
        <w:autoSpaceDN w:val="0"/>
        <w:adjustRightInd w:val="0"/>
        <w:spacing w:line="240" w:lineRule="auto"/>
        <w:rPr>
          <w:rFonts w:cs="Verdana"/>
          <w:szCs w:val="18"/>
        </w:rPr>
      </w:pPr>
    </w:p>
    <w:p w14:paraId="3D10B472" w14:textId="0E1407F5" w:rsidR="005321F1" w:rsidRPr="002A42EB" w:rsidRDefault="009E539D" w:rsidP="005321F1">
      <w:pPr>
        <w:autoSpaceDE w:val="0"/>
        <w:autoSpaceDN w:val="0"/>
        <w:adjustRightInd w:val="0"/>
        <w:spacing w:line="240" w:lineRule="auto"/>
        <w:rPr>
          <w:rFonts w:cs="Verdana"/>
          <w:szCs w:val="18"/>
        </w:rPr>
      </w:pPr>
      <w:r>
        <w:rPr>
          <w:rFonts w:cs="Verdana"/>
          <w:szCs w:val="18"/>
        </w:rPr>
        <w:t xml:space="preserve">Bij de VN zijn er twee </w:t>
      </w:r>
      <w:r w:rsidRPr="002A42EB">
        <w:rPr>
          <w:rFonts w:cs="Verdana"/>
          <w:szCs w:val="18"/>
        </w:rPr>
        <w:t xml:space="preserve">soorten </w:t>
      </w:r>
      <w:r w:rsidR="00347ABB" w:rsidRPr="002A42EB">
        <w:rPr>
          <w:rFonts w:cs="Verdana"/>
          <w:szCs w:val="18"/>
        </w:rPr>
        <w:t xml:space="preserve">humanitaire </w:t>
      </w:r>
      <w:proofErr w:type="spellStart"/>
      <w:r w:rsidRPr="002A42EB">
        <w:rPr>
          <w:rFonts w:cs="Verdana"/>
          <w:i/>
          <w:szCs w:val="18"/>
        </w:rPr>
        <w:t>pooled</w:t>
      </w:r>
      <w:proofErr w:type="spellEnd"/>
      <w:r w:rsidRPr="002A42EB">
        <w:rPr>
          <w:rFonts w:cs="Verdana"/>
          <w:i/>
          <w:szCs w:val="18"/>
        </w:rPr>
        <w:t xml:space="preserve"> funds</w:t>
      </w:r>
      <w:r w:rsidR="00CB0927">
        <w:rPr>
          <w:rFonts w:cs="Verdana"/>
          <w:szCs w:val="18"/>
        </w:rPr>
        <w:t>;</w:t>
      </w:r>
      <w:r w:rsidRPr="002A42EB">
        <w:rPr>
          <w:rFonts w:cs="Verdana"/>
          <w:szCs w:val="18"/>
        </w:rPr>
        <w:t xml:space="preserve"> het wereldwijd inzetbare ‘</w:t>
      </w:r>
      <w:r w:rsidRPr="002A42EB">
        <w:rPr>
          <w:rFonts w:cs="Verdana"/>
          <w:i/>
          <w:szCs w:val="18"/>
        </w:rPr>
        <w:t xml:space="preserve">Central </w:t>
      </w:r>
      <w:proofErr w:type="spellStart"/>
      <w:r w:rsidRPr="002A42EB">
        <w:rPr>
          <w:rFonts w:cs="Verdana"/>
          <w:i/>
          <w:szCs w:val="18"/>
        </w:rPr>
        <w:t>Emergency</w:t>
      </w:r>
      <w:proofErr w:type="spellEnd"/>
      <w:r w:rsidRPr="002A42EB">
        <w:rPr>
          <w:rFonts w:cs="Verdana"/>
          <w:i/>
          <w:szCs w:val="18"/>
        </w:rPr>
        <w:t xml:space="preserve"> Response Fund’ (CERF) </w:t>
      </w:r>
      <w:r w:rsidRPr="002A42EB">
        <w:rPr>
          <w:rFonts w:cs="Verdana"/>
          <w:szCs w:val="18"/>
        </w:rPr>
        <w:t>en ‘</w:t>
      </w:r>
      <w:r w:rsidRPr="002A42EB">
        <w:rPr>
          <w:rFonts w:cs="Verdana"/>
          <w:i/>
          <w:szCs w:val="18"/>
        </w:rPr>
        <w:t xml:space="preserve">Country </w:t>
      </w:r>
      <w:proofErr w:type="spellStart"/>
      <w:r w:rsidRPr="002A42EB">
        <w:rPr>
          <w:rFonts w:cs="Verdana"/>
          <w:i/>
          <w:szCs w:val="18"/>
        </w:rPr>
        <w:t>Based</w:t>
      </w:r>
      <w:proofErr w:type="spellEnd"/>
      <w:r w:rsidRPr="002A42EB">
        <w:rPr>
          <w:rFonts w:cs="Verdana"/>
          <w:i/>
          <w:szCs w:val="18"/>
        </w:rPr>
        <w:t xml:space="preserve"> </w:t>
      </w:r>
      <w:proofErr w:type="spellStart"/>
      <w:r w:rsidRPr="002A42EB">
        <w:rPr>
          <w:rFonts w:cs="Verdana"/>
          <w:i/>
          <w:szCs w:val="18"/>
        </w:rPr>
        <w:t>Pooled</w:t>
      </w:r>
      <w:proofErr w:type="spellEnd"/>
      <w:r w:rsidRPr="002A42EB">
        <w:rPr>
          <w:rFonts w:cs="Verdana"/>
          <w:i/>
          <w:szCs w:val="18"/>
        </w:rPr>
        <w:t xml:space="preserve"> Funds’ (CBPF) </w:t>
      </w:r>
      <w:r w:rsidRPr="002A42EB">
        <w:rPr>
          <w:rFonts w:cs="Verdana"/>
          <w:szCs w:val="18"/>
        </w:rPr>
        <w:lastRenderedPageBreak/>
        <w:t>per land. Het CERF</w:t>
      </w:r>
      <w:r w:rsidRPr="002A42EB">
        <w:rPr>
          <w:rStyle w:val="FootnoteReference"/>
          <w:rFonts w:cs="Verdana"/>
          <w:szCs w:val="18"/>
        </w:rPr>
        <w:footnoteReference w:id="4"/>
      </w:r>
      <w:r w:rsidRPr="002A42EB">
        <w:rPr>
          <w:rFonts w:cs="Verdana"/>
          <w:szCs w:val="18"/>
        </w:rPr>
        <w:t xml:space="preserve"> wordt beheerd door OCHA en stelt wereldwijd fondsen beschikbaar voor activiteiten van VN-organisaties, die vervolgens </w:t>
      </w:r>
      <w:proofErr w:type="spellStart"/>
      <w:r w:rsidRPr="002A42EB">
        <w:rPr>
          <w:rFonts w:cs="Verdana"/>
          <w:szCs w:val="18"/>
        </w:rPr>
        <w:t>NGO’s</w:t>
      </w:r>
      <w:proofErr w:type="spellEnd"/>
      <w:r w:rsidRPr="002A42EB">
        <w:rPr>
          <w:rFonts w:cs="Verdana"/>
          <w:szCs w:val="18"/>
        </w:rPr>
        <w:t xml:space="preserve"> kunnen contracteren als onderaannemer. De activiteiten zijn gericht op snelle steun voor levensreddende activiteiten bij natuurrampen en conflicten en steun bij zogeheten vergeten rampen. </w:t>
      </w:r>
      <w:proofErr w:type="spellStart"/>
      <w:r w:rsidR="0010423D" w:rsidRPr="002A42EB">
        <w:rPr>
          <w:rFonts w:cs="Verdana"/>
          <w:szCs w:val="18"/>
        </w:rPr>
        <w:t>CBPF’s</w:t>
      </w:r>
      <w:proofErr w:type="spellEnd"/>
      <w:r w:rsidR="0010423D" w:rsidRPr="002A42EB">
        <w:rPr>
          <w:rFonts w:cs="Verdana"/>
          <w:szCs w:val="18"/>
        </w:rPr>
        <w:t xml:space="preserve"> bestaan in een aantal chronische crisislanden</w:t>
      </w:r>
      <w:r w:rsidR="00CB0927">
        <w:rPr>
          <w:rFonts w:cs="Verdana"/>
          <w:szCs w:val="18"/>
        </w:rPr>
        <w:t xml:space="preserve"> </w:t>
      </w:r>
      <w:r w:rsidR="00CB0927" w:rsidRPr="002A42EB">
        <w:rPr>
          <w:rFonts w:cs="Verdana"/>
          <w:szCs w:val="18"/>
        </w:rPr>
        <w:t>(momenteel 18)</w:t>
      </w:r>
      <w:r w:rsidR="0010423D" w:rsidRPr="002A42EB">
        <w:rPr>
          <w:rFonts w:cs="Verdana"/>
          <w:szCs w:val="18"/>
        </w:rPr>
        <w:t xml:space="preserve">. De fondsen worden </w:t>
      </w:r>
      <w:r w:rsidR="005321F1" w:rsidRPr="002A42EB">
        <w:rPr>
          <w:rFonts w:cs="Verdana"/>
          <w:szCs w:val="18"/>
        </w:rPr>
        <w:t xml:space="preserve">lokaal </w:t>
      </w:r>
      <w:r w:rsidR="0010423D" w:rsidRPr="002A42EB">
        <w:rPr>
          <w:rFonts w:cs="Verdana"/>
          <w:szCs w:val="18"/>
        </w:rPr>
        <w:t xml:space="preserve">door </w:t>
      </w:r>
      <w:r w:rsidR="005321F1" w:rsidRPr="002A42EB">
        <w:rPr>
          <w:rFonts w:cs="Verdana"/>
          <w:szCs w:val="18"/>
        </w:rPr>
        <w:t>OCHA beheerd</w:t>
      </w:r>
      <w:r w:rsidR="0010423D" w:rsidRPr="002A42EB">
        <w:rPr>
          <w:rFonts w:cs="Verdana"/>
          <w:szCs w:val="18"/>
        </w:rPr>
        <w:t xml:space="preserve">. De besluiten over toekenning van fondsen uit </w:t>
      </w:r>
      <w:proofErr w:type="spellStart"/>
      <w:r w:rsidR="0010423D" w:rsidRPr="002A42EB">
        <w:rPr>
          <w:rFonts w:cs="Verdana"/>
          <w:szCs w:val="18"/>
        </w:rPr>
        <w:t>CBPF</w:t>
      </w:r>
      <w:r w:rsidR="00BD7074" w:rsidRPr="002A42EB">
        <w:rPr>
          <w:rFonts w:cs="Verdana"/>
          <w:szCs w:val="18"/>
        </w:rPr>
        <w:t>’</w:t>
      </w:r>
      <w:r w:rsidR="0010423D" w:rsidRPr="002A42EB">
        <w:rPr>
          <w:rFonts w:cs="Verdana"/>
          <w:szCs w:val="18"/>
        </w:rPr>
        <w:t>s</w:t>
      </w:r>
      <w:proofErr w:type="spellEnd"/>
      <w:r w:rsidR="0010423D" w:rsidRPr="002A42EB">
        <w:rPr>
          <w:rFonts w:cs="Verdana"/>
          <w:szCs w:val="18"/>
        </w:rPr>
        <w:t xml:space="preserve"> </w:t>
      </w:r>
      <w:r w:rsidR="00BD7074" w:rsidRPr="002A42EB">
        <w:rPr>
          <w:rFonts w:cs="Verdana"/>
          <w:szCs w:val="18"/>
        </w:rPr>
        <w:t>worden door</w:t>
      </w:r>
      <w:r w:rsidR="002F257D" w:rsidRPr="002A42EB">
        <w:rPr>
          <w:rFonts w:cs="Verdana"/>
          <w:szCs w:val="18"/>
        </w:rPr>
        <w:t xml:space="preserve"> de HC genomen, gebruikelijk bijgestaan door een </w:t>
      </w:r>
      <w:proofErr w:type="spellStart"/>
      <w:r w:rsidR="002F257D" w:rsidRPr="002A42EB">
        <w:rPr>
          <w:rFonts w:cs="Verdana"/>
          <w:i/>
          <w:szCs w:val="18"/>
        </w:rPr>
        <w:t>Advisory</w:t>
      </w:r>
      <w:proofErr w:type="spellEnd"/>
      <w:r w:rsidR="002F257D" w:rsidRPr="002A42EB">
        <w:rPr>
          <w:rFonts w:cs="Verdana"/>
          <w:i/>
          <w:szCs w:val="18"/>
        </w:rPr>
        <w:t xml:space="preserve"> Board</w:t>
      </w:r>
      <w:r w:rsidR="002F257D" w:rsidRPr="002A42EB">
        <w:rPr>
          <w:rFonts w:cs="Verdana"/>
          <w:szCs w:val="18"/>
        </w:rPr>
        <w:t xml:space="preserve"> </w:t>
      </w:r>
      <w:r w:rsidR="004D1729" w:rsidRPr="002A42EB">
        <w:rPr>
          <w:rFonts w:cs="Verdana"/>
          <w:szCs w:val="18"/>
        </w:rPr>
        <w:t>bestaande uit</w:t>
      </w:r>
      <w:r w:rsidR="00F20911" w:rsidRPr="002A42EB">
        <w:rPr>
          <w:rFonts w:cs="Verdana"/>
          <w:szCs w:val="18"/>
        </w:rPr>
        <w:t xml:space="preserve"> een evenredige vertegenwoordiging van</w:t>
      </w:r>
      <w:r w:rsidR="004D1729" w:rsidRPr="002A42EB">
        <w:rPr>
          <w:rFonts w:cs="Verdana"/>
          <w:szCs w:val="18"/>
        </w:rPr>
        <w:t xml:space="preserve"> </w:t>
      </w:r>
      <w:r w:rsidR="002F257D" w:rsidRPr="002A42EB">
        <w:rPr>
          <w:rFonts w:cs="Verdana"/>
          <w:szCs w:val="18"/>
        </w:rPr>
        <w:t>donoren</w:t>
      </w:r>
      <w:r w:rsidR="00F20911" w:rsidRPr="002A42EB">
        <w:rPr>
          <w:rFonts w:cs="Verdana"/>
          <w:szCs w:val="18"/>
        </w:rPr>
        <w:t>, VN</w:t>
      </w:r>
      <w:r w:rsidR="00D47B53">
        <w:rPr>
          <w:rFonts w:cs="Verdana"/>
          <w:szCs w:val="18"/>
        </w:rPr>
        <w:t>-</w:t>
      </w:r>
      <w:r w:rsidR="00F20911" w:rsidRPr="002A42EB">
        <w:rPr>
          <w:rFonts w:cs="Verdana"/>
          <w:szCs w:val="18"/>
        </w:rPr>
        <w:t xml:space="preserve">organisaties, </w:t>
      </w:r>
      <w:proofErr w:type="spellStart"/>
      <w:r w:rsidR="00B1678C">
        <w:rPr>
          <w:rFonts w:cs="Verdana"/>
          <w:szCs w:val="18"/>
        </w:rPr>
        <w:t>I</w:t>
      </w:r>
      <w:r w:rsidR="00F20911" w:rsidRPr="002A42EB">
        <w:rPr>
          <w:rFonts w:cs="Verdana"/>
          <w:szCs w:val="18"/>
        </w:rPr>
        <w:t>NGO</w:t>
      </w:r>
      <w:r w:rsidR="00CB0927">
        <w:rPr>
          <w:rFonts w:cs="Verdana"/>
          <w:szCs w:val="18"/>
        </w:rPr>
        <w:t>'</w:t>
      </w:r>
      <w:r w:rsidR="00F20911" w:rsidRPr="002A42EB">
        <w:rPr>
          <w:rFonts w:cs="Verdana"/>
          <w:szCs w:val="18"/>
        </w:rPr>
        <w:t>s</w:t>
      </w:r>
      <w:proofErr w:type="spellEnd"/>
      <w:r w:rsidR="00F20911" w:rsidRPr="002A42EB">
        <w:rPr>
          <w:rFonts w:cs="Verdana"/>
          <w:szCs w:val="18"/>
        </w:rPr>
        <w:t xml:space="preserve"> en </w:t>
      </w:r>
      <w:proofErr w:type="spellStart"/>
      <w:r w:rsidR="00F20911" w:rsidRPr="002A42EB">
        <w:rPr>
          <w:rFonts w:cs="Verdana"/>
          <w:szCs w:val="18"/>
        </w:rPr>
        <w:t>NGO</w:t>
      </w:r>
      <w:r w:rsidR="00CB0927">
        <w:rPr>
          <w:rFonts w:cs="Verdana"/>
          <w:szCs w:val="18"/>
        </w:rPr>
        <w:t>'</w:t>
      </w:r>
      <w:r w:rsidR="00F20911" w:rsidRPr="002A42EB">
        <w:rPr>
          <w:rFonts w:cs="Verdana"/>
          <w:szCs w:val="18"/>
        </w:rPr>
        <w:t>s</w:t>
      </w:r>
      <w:proofErr w:type="spellEnd"/>
      <w:r w:rsidR="008C2981" w:rsidRPr="002A42EB">
        <w:rPr>
          <w:rFonts w:cs="Verdana"/>
          <w:szCs w:val="18"/>
        </w:rPr>
        <w:t>.</w:t>
      </w:r>
      <w:r w:rsidR="005321F1" w:rsidRPr="002A42EB">
        <w:rPr>
          <w:rFonts w:cs="Verdana"/>
          <w:szCs w:val="18"/>
        </w:rPr>
        <w:t xml:space="preserve"> Fondsen uit </w:t>
      </w:r>
      <w:proofErr w:type="spellStart"/>
      <w:r w:rsidR="005321F1" w:rsidRPr="002A42EB">
        <w:rPr>
          <w:rFonts w:cs="Verdana"/>
          <w:szCs w:val="18"/>
        </w:rPr>
        <w:t>CBPF’s</w:t>
      </w:r>
      <w:proofErr w:type="spellEnd"/>
      <w:r w:rsidR="005321F1" w:rsidRPr="002A42EB">
        <w:rPr>
          <w:rFonts w:cs="Verdana"/>
          <w:szCs w:val="18"/>
        </w:rPr>
        <w:t xml:space="preserve"> kunnen beschikbaar gesteld worden aan VN-organisaties, IOM, (i)</w:t>
      </w:r>
      <w:proofErr w:type="spellStart"/>
      <w:r w:rsidR="005321F1" w:rsidRPr="002A42EB">
        <w:rPr>
          <w:rFonts w:cs="Verdana"/>
          <w:szCs w:val="18"/>
        </w:rPr>
        <w:t>NGO</w:t>
      </w:r>
      <w:r w:rsidR="00CB0927">
        <w:rPr>
          <w:rFonts w:cs="Verdana"/>
          <w:szCs w:val="18"/>
        </w:rPr>
        <w:t>'</w:t>
      </w:r>
      <w:r w:rsidR="005321F1" w:rsidRPr="002A42EB">
        <w:rPr>
          <w:rFonts w:cs="Verdana"/>
          <w:szCs w:val="18"/>
        </w:rPr>
        <w:t>s</w:t>
      </w:r>
      <w:proofErr w:type="spellEnd"/>
      <w:r w:rsidR="005321F1" w:rsidRPr="002A42EB">
        <w:rPr>
          <w:rFonts w:cs="Verdana"/>
          <w:szCs w:val="18"/>
        </w:rPr>
        <w:t xml:space="preserve"> en Rode Kruis en Rode Halve Maanbewegingen.</w:t>
      </w:r>
    </w:p>
    <w:p w14:paraId="3D10B473" w14:textId="28D1E61F" w:rsidR="009E539D" w:rsidRPr="00C044F5" w:rsidRDefault="009E539D" w:rsidP="009E539D">
      <w:pPr>
        <w:rPr>
          <w:rFonts w:cs="Verdana"/>
          <w:i/>
          <w:szCs w:val="18"/>
        </w:rPr>
      </w:pPr>
      <w:r>
        <w:rPr>
          <w:rFonts w:cs="Verdana"/>
          <w:i/>
          <w:color w:val="FF0000"/>
          <w:szCs w:val="18"/>
        </w:rPr>
        <w:br/>
      </w:r>
      <w:r w:rsidRPr="00C044F5">
        <w:rPr>
          <w:rFonts w:cs="Verdana"/>
          <w:i/>
          <w:szCs w:val="18"/>
        </w:rPr>
        <w:t>Beleidsprioriteiten en activiteiten</w:t>
      </w:r>
    </w:p>
    <w:p w14:paraId="3D10B475" w14:textId="3E66DD8E" w:rsidR="006A3C0C" w:rsidRPr="004161FE" w:rsidRDefault="009E539D" w:rsidP="006A3C0C">
      <w:pPr>
        <w:autoSpaceDE w:val="0"/>
        <w:autoSpaceDN w:val="0"/>
        <w:adjustRightInd w:val="0"/>
        <w:spacing w:line="240" w:lineRule="auto"/>
        <w:rPr>
          <w:rFonts w:cs="Verdana"/>
          <w:szCs w:val="18"/>
        </w:rPr>
      </w:pPr>
      <w:r>
        <w:rPr>
          <w:rFonts w:cs="Verdana"/>
          <w:szCs w:val="18"/>
        </w:rPr>
        <w:t xml:space="preserve">OCHA is op wereldniveau dé </w:t>
      </w:r>
      <w:r w:rsidR="006A3C0C">
        <w:rPr>
          <w:rFonts w:cs="Verdana"/>
          <w:szCs w:val="18"/>
        </w:rPr>
        <w:t xml:space="preserve">coördinerende </w:t>
      </w:r>
      <w:r>
        <w:rPr>
          <w:rFonts w:cs="Verdana"/>
          <w:szCs w:val="18"/>
        </w:rPr>
        <w:t xml:space="preserve">organisatie </w:t>
      </w:r>
      <w:r w:rsidR="006A3C0C">
        <w:rPr>
          <w:rFonts w:cs="Verdana"/>
          <w:szCs w:val="18"/>
        </w:rPr>
        <w:t xml:space="preserve">voor </w:t>
      </w:r>
      <w:r>
        <w:rPr>
          <w:rFonts w:cs="Verdana"/>
          <w:szCs w:val="18"/>
        </w:rPr>
        <w:t>alle</w:t>
      </w:r>
      <w:r w:rsidR="00E4642E">
        <w:rPr>
          <w:rFonts w:cs="Verdana"/>
          <w:szCs w:val="18"/>
        </w:rPr>
        <w:t xml:space="preserve"> </w:t>
      </w:r>
      <w:r>
        <w:rPr>
          <w:rFonts w:cs="Verdana"/>
          <w:szCs w:val="18"/>
        </w:rPr>
        <w:t xml:space="preserve">humanitaire </w:t>
      </w:r>
      <w:r w:rsidR="00D47B53">
        <w:rPr>
          <w:rFonts w:cs="Verdana"/>
          <w:szCs w:val="18"/>
        </w:rPr>
        <w:t>a</w:t>
      </w:r>
      <w:r>
        <w:rPr>
          <w:rFonts w:cs="Verdana"/>
          <w:szCs w:val="18"/>
        </w:rPr>
        <w:t>ctiviteiten</w:t>
      </w:r>
      <w:r w:rsidR="00E4642E">
        <w:rPr>
          <w:rFonts w:cs="Verdana"/>
          <w:szCs w:val="18"/>
        </w:rPr>
        <w:t xml:space="preserve"> waar sprake is van internationale hulp</w:t>
      </w:r>
      <w:r>
        <w:rPr>
          <w:rFonts w:cs="Verdana"/>
          <w:szCs w:val="18"/>
        </w:rPr>
        <w:t>.</w:t>
      </w:r>
      <w:r w:rsidR="00D47B53" w:rsidRPr="00D47B53">
        <w:rPr>
          <w:rFonts w:cs="Verdana"/>
          <w:szCs w:val="18"/>
        </w:rPr>
        <w:t xml:space="preserve"> </w:t>
      </w:r>
      <w:r w:rsidR="00D47B53" w:rsidRPr="00B1581D">
        <w:rPr>
          <w:rFonts w:cs="Verdana"/>
          <w:szCs w:val="18"/>
        </w:rPr>
        <w:t>Mobilisatie en coördinatie van effectieve humanitaire hulpverlening in samenwerking met nati</w:t>
      </w:r>
      <w:r w:rsidR="00D47B53">
        <w:rPr>
          <w:rFonts w:cs="Verdana"/>
          <w:szCs w:val="18"/>
        </w:rPr>
        <w:t>onale en internationale actoren</w:t>
      </w:r>
      <w:r w:rsidR="00D47B53" w:rsidRPr="00B1581D">
        <w:rPr>
          <w:rFonts w:cs="Verdana"/>
          <w:szCs w:val="18"/>
        </w:rPr>
        <w:t xml:space="preserve"> is onderdeel van het kernmandaat van OCHA. Nationale overheden hebben op oprichting van OCHA </w:t>
      </w:r>
      <w:r w:rsidR="00D47B53">
        <w:rPr>
          <w:rFonts w:cs="Verdana"/>
          <w:szCs w:val="18"/>
        </w:rPr>
        <w:t>aangedrongen omdat ze maar met één</w:t>
      </w:r>
      <w:r w:rsidR="00D47B53" w:rsidRPr="00B1581D">
        <w:rPr>
          <w:rFonts w:cs="Verdana"/>
          <w:szCs w:val="18"/>
        </w:rPr>
        <w:t xml:space="preserve"> internationale partner te maken willen hebben bij noodhulp</w:t>
      </w:r>
      <w:r w:rsidR="00D47B53">
        <w:rPr>
          <w:rFonts w:cs="Verdana"/>
          <w:szCs w:val="18"/>
        </w:rPr>
        <w:t>.</w:t>
      </w:r>
      <w:r>
        <w:rPr>
          <w:rFonts w:cs="Verdana"/>
          <w:szCs w:val="18"/>
        </w:rPr>
        <w:t xml:space="preserve"> Door </w:t>
      </w:r>
      <w:r w:rsidR="006A3C0C">
        <w:rPr>
          <w:rFonts w:cs="Verdana"/>
          <w:szCs w:val="18"/>
        </w:rPr>
        <w:t>zijn</w:t>
      </w:r>
      <w:r>
        <w:rPr>
          <w:rFonts w:cs="Verdana"/>
          <w:szCs w:val="18"/>
        </w:rPr>
        <w:t xml:space="preserve"> coördinerende taak </w:t>
      </w:r>
      <w:r w:rsidR="00D47B53">
        <w:rPr>
          <w:rFonts w:cs="Verdana"/>
          <w:szCs w:val="18"/>
        </w:rPr>
        <w:t>h</w:t>
      </w:r>
      <w:r>
        <w:rPr>
          <w:rFonts w:cs="Verdana"/>
          <w:szCs w:val="18"/>
        </w:rPr>
        <w:t>eeft OCHA een belangrijke</w:t>
      </w:r>
      <w:r w:rsidR="002A42EB">
        <w:rPr>
          <w:rFonts w:cs="Verdana"/>
          <w:szCs w:val="18"/>
        </w:rPr>
        <w:t xml:space="preserve"> </w:t>
      </w:r>
      <w:r>
        <w:rPr>
          <w:rFonts w:cs="Verdana"/>
          <w:szCs w:val="18"/>
        </w:rPr>
        <w:t>rol bij het verhogen van de effectiviteit en efficiëntie van humanitaire hulp. OCHA zet zich in daar waar humanitaire hulp nodig is</w:t>
      </w:r>
      <w:r w:rsidR="00E4642E">
        <w:rPr>
          <w:rFonts w:cs="Verdana"/>
          <w:szCs w:val="18"/>
        </w:rPr>
        <w:t xml:space="preserve"> (op basis van verzoek van overheid of op basis van de </w:t>
      </w:r>
      <w:proofErr w:type="spellStart"/>
      <w:r w:rsidR="00E4642E" w:rsidRPr="002A42EB">
        <w:rPr>
          <w:rFonts w:cs="Verdana"/>
          <w:i/>
          <w:szCs w:val="18"/>
        </w:rPr>
        <w:t>responsibility</w:t>
      </w:r>
      <w:proofErr w:type="spellEnd"/>
      <w:r w:rsidR="00E4642E" w:rsidRPr="002A42EB">
        <w:rPr>
          <w:rFonts w:cs="Verdana"/>
          <w:i/>
          <w:szCs w:val="18"/>
        </w:rPr>
        <w:t xml:space="preserve"> </w:t>
      </w:r>
      <w:proofErr w:type="spellStart"/>
      <w:r w:rsidR="00E4642E" w:rsidRPr="002A42EB">
        <w:rPr>
          <w:rFonts w:cs="Verdana"/>
          <w:i/>
          <w:szCs w:val="18"/>
        </w:rPr>
        <w:t>to</w:t>
      </w:r>
      <w:proofErr w:type="spellEnd"/>
      <w:r w:rsidR="00E4642E" w:rsidRPr="002A42EB">
        <w:rPr>
          <w:rFonts w:cs="Verdana"/>
          <w:i/>
          <w:szCs w:val="18"/>
        </w:rPr>
        <w:t xml:space="preserve"> </w:t>
      </w:r>
      <w:proofErr w:type="spellStart"/>
      <w:r w:rsidR="00E4642E" w:rsidRPr="002A42EB">
        <w:rPr>
          <w:rFonts w:cs="Verdana"/>
          <w:i/>
          <w:szCs w:val="18"/>
        </w:rPr>
        <w:t>protect</w:t>
      </w:r>
      <w:proofErr w:type="spellEnd"/>
      <w:r w:rsidR="00E4642E">
        <w:rPr>
          <w:rFonts w:cs="Verdana"/>
          <w:szCs w:val="18"/>
        </w:rPr>
        <w:t>)</w:t>
      </w:r>
      <w:r>
        <w:rPr>
          <w:rFonts w:cs="Verdana"/>
          <w:szCs w:val="18"/>
        </w:rPr>
        <w:t xml:space="preserve">, dit betekent dat OCHA zowel actief is in </w:t>
      </w:r>
      <w:proofErr w:type="spellStart"/>
      <w:r w:rsidR="009D4AA1">
        <w:rPr>
          <w:rFonts w:cs="Verdana"/>
          <w:i/>
          <w:szCs w:val="18"/>
        </w:rPr>
        <w:t>least</w:t>
      </w:r>
      <w:proofErr w:type="spellEnd"/>
      <w:r w:rsidR="009D4AA1">
        <w:rPr>
          <w:rFonts w:cs="Verdana"/>
          <w:i/>
          <w:szCs w:val="18"/>
        </w:rPr>
        <w:t xml:space="preserve"> </w:t>
      </w:r>
      <w:proofErr w:type="spellStart"/>
      <w:r w:rsidR="009D4AA1">
        <w:rPr>
          <w:rFonts w:cs="Verdana"/>
          <w:i/>
          <w:szCs w:val="18"/>
        </w:rPr>
        <w:t>developed</w:t>
      </w:r>
      <w:proofErr w:type="spellEnd"/>
      <w:r w:rsidR="009D4AA1">
        <w:rPr>
          <w:rFonts w:cs="Verdana"/>
          <w:i/>
          <w:szCs w:val="18"/>
        </w:rPr>
        <w:t xml:space="preserve"> </w:t>
      </w:r>
      <w:proofErr w:type="spellStart"/>
      <w:r w:rsidR="009D4AA1">
        <w:rPr>
          <w:rFonts w:cs="Verdana"/>
          <w:i/>
          <w:szCs w:val="18"/>
        </w:rPr>
        <w:t>countries</w:t>
      </w:r>
      <w:proofErr w:type="spellEnd"/>
      <w:r w:rsidR="009D4AA1">
        <w:rPr>
          <w:rFonts w:cs="Verdana"/>
          <w:i/>
          <w:szCs w:val="18"/>
        </w:rPr>
        <w:t xml:space="preserve"> (</w:t>
      </w:r>
      <w:proofErr w:type="spellStart"/>
      <w:r w:rsidR="009D4AA1">
        <w:rPr>
          <w:rFonts w:cs="Verdana"/>
          <w:i/>
          <w:szCs w:val="18"/>
        </w:rPr>
        <w:t>LDC</w:t>
      </w:r>
      <w:r w:rsidR="00AD6A8B">
        <w:rPr>
          <w:rFonts w:cs="Verdana"/>
          <w:i/>
          <w:szCs w:val="18"/>
        </w:rPr>
        <w:t>’</w:t>
      </w:r>
      <w:r w:rsidR="009D4AA1">
        <w:rPr>
          <w:rFonts w:cs="Verdana"/>
          <w:i/>
          <w:szCs w:val="18"/>
        </w:rPr>
        <w:t>s</w:t>
      </w:r>
      <w:proofErr w:type="spellEnd"/>
      <w:r w:rsidR="009D4AA1">
        <w:rPr>
          <w:rFonts w:cs="Verdana"/>
          <w:i/>
          <w:szCs w:val="18"/>
        </w:rPr>
        <w:t>)</w:t>
      </w:r>
      <w:r w:rsidR="009D4AA1">
        <w:rPr>
          <w:rFonts w:cs="Verdana"/>
          <w:szCs w:val="18"/>
        </w:rPr>
        <w:t xml:space="preserve"> als in </w:t>
      </w:r>
      <w:proofErr w:type="spellStart"/>
      <w:r w:rsidR="009D4AA1">
        <w:rPr>
          <w:rFonts w:cs="Verdana"/>
          <w:i/>
          <w:szCs w:val="18"/>
        </w:rPr>
        <w:t>middle</w:t>
      </w:r>
      <w:proofErr w:type="spellEnd"/>
      <w:r w:rsidR="009D4AA1">
        <w:rPr>
          <w:rFonts w:cs="Verdana"/>
          <w:i/>
          <w:szCs w:val="18"/>
        </w:rPr>
        <w:t xml:space="preserve"> </w:t>
      </w:r>
      <w:proofErr w:type="spellStart"/>
      <w:r w:rsidR="009D4AA1">
        <w:rPr>
          <w:rFonts w:cs="Verdana"/>
          <w:i/>
          <w:szCs w:val="18"/>
        </w:rPr>
        <w:t>income</w:t>
      </w:r>
      <w:proofErr w:type="spellEnd"/>
      <w:r w:rsidR="009D4AA1">
        <w:rPr>
          <w:rFonts w:cs="Verdana"/>
          <w:i/>
          <w:szCs w:val="18"/>
        </w:rPr>
        <w:t xml:space="preserve"> </w:t>
      </w:r>
      <w:proofErr w:type="spellStart"/>
      <w:r w:rsidR="009D4AA1">
        <w:rPr>
          <w:rFonts w:cs="Verdana"/>
          <w:i/>
          <w:szCs w:val="18"/>
        </w:rPr>
        <w:t>countries</w:t>
      </w:r>
      <w:proofErr w:type="spellEnd"/>
      <w:r w:rsidR="009D4AA1">
        <w:rPr>
          <w:rFonts w:cs="Verdana"/>
          <w:i/>
          <w:szCs w:val="18"/>
        </w:rPr>
        <w:t xml:space="preserve"> (</w:t>
      </w:r>
      <w:proofErr w:type="spellStart"/>
      <w:r w:rsidR="009D4AA1">
        <w:rPr>
          <w:rFonts w:cs="Verdana"/>
          <w:i/>
          <w:szCs w:val="18"/>
        </w:rPr>
        <w:t>MIC</w:t>
      </w:r>
      <w:r w:rsidR="00AD6A8B">
        <w:rPr>
          <w:rFonts w:cs="Verdana"/>
          <w:i/>
          <w:szCs w:val="18"/>
        </w:rPr>
        <w:t>’</w:t>
      </w:r>
      <w:r w:rsidR="009D4AA1">
        <w:rPr>
          <w:rFonts w:cs="Verdana"/>
          <w:i/>
          <w:szCs w:val="18"/>
        </w:rPr>
        <w:t>s</w:t>
      </w:r>
      <w:proofErr w:type="spellEnd"/>
      <w:r w:rsidR="009D4AA1">
        <w:rPr>
          <w:rFonts w:cs="Verdana"/>
          <w:i/>
          <w:szCs w:val="18"/>
        </w:rPr>
        <w:t>)</w:t>
      </w:r>
      <w:r>
        <w:rPr>
          <w:rFonts w:cs="Verdana"/>
          <w:szCs w:val="18"/>
        </w:rPr>
        <w:t>.</w:t>
      </w:r>
      <w:r w:rsidR="006A3C0C">
        <w:rPr>
          <w:rFonts w:cs="Verdana"/>
          <w:szCs w:val="18"/>
        </w:rPr>
        <w:t xml:space="preserve"> </w:t>
      </w:r>
      <w:proofErr w:type="spellStart"/>
      <w:r w:rsidR="006A3C0C">
        <w:rPr>
          <w:rFonts w:cs="Verdana"/>
          <w:szCs w:val="18"/>
        </w:rPr>
        <w:t>OCHA’s</w:t>
      </w:r>
      <w:proofErr w:type="spellEnd"/>
      <w:r w:rsidR="006A3C0C">
        <w:rPr>
          <w:rFonts w:cs="Verdana"/>
          <w:szCs w:val="18"/>
        </w:rPr>
        <w:t xml:space="preserve"> mandaat is neergelegd in vijf kernfuncties: coördinatie, beleid, </w:t>
      </w:r>
      <w:proofErr w:type="spellStart"/>
      <w:r w:rsidR="006A3C0C">
        <w:rPr>
          <w:rFonts w:cs="Verdana"/>
          <w:i/>
          <w:szCs w:val="18"/>
        </w:rPr>
        <w:t>advocacy</w:t>
      </w:r>
      <w:proofErr w:type="spellEnd"/>
      <w:r w:rsidR="006A3C0C">
        <w:rPr>
          <w:rFonts w:cs="Verdana"/>
          <w:szCs w:val="18"/>
        </w:rPr>
        <w:t xml:space="preserve">, informatiemanagement en humanitaire financiering. </w:t>
      </w:r>
      <w:r w:rsidR="006A3C0C">
        <w:rPr>
          <w:color w:val="000000"/>
        </w:rPr>
        <w:t xml:space="preserve">In het meerjarig strategisch </w:t>
      </w:r>
      <w:r w:rsidR="006A3C0C" w:rsidRPr="00E41FCE">
        <w:rPr>
          <w:color w:val="000000"/>
        </w:rPr>
        <w:t>plan</w:t>
      </w:r>
      <w:r w:rsidR="006A3C0C">
        <w:rPr>
          <w:color w:val="000000"/>
        </w:rPr>
        <w:t xml:space="preserve"> 2014 - 2017</w:t>
      </w:r>
      <w:r w:rsidR="006A3C0C" w:rsidRPr="00E41FCE">
        <w:rPr>
          <w:color w:val="000000"/>
        </w:rPr>
        <w:t xml:space="preserve"> </w:t>
      </w:r>
      <w:r w:rsidR="00E4642E">
        <w:rPr>
          <w:color w:val="000000"/>
        </w:rPr>
        <w:t>zijn</w:t>
      </w:r>
      <w:r w:rsidR="006A3C0C">
        <w:rPr>
          <w:color w:val="000000"/>
        </w:rPr>
        <w:t xml:space="preserve"> de strategische doelstellingen nader uitgewerkt.</w:t>
      </w:r>
      <w:r w:rsidR="006A3C0C">
        <w:rPr>
          <w:rFonts w:cs="Verdana"/>
          <w:szCs w:val="18"/>
        </w:rPr>
        <w:t xml:space="preserve"> De organisatie legt zich in deze periode toe op het versterken van de effectiviteit van het</w:t>
      </w:r>
      <w:r w:rsidR="006A3C0C" w:rsidRPr="00C044F5">
        <w:rPr>
          <w:rFonts w:cs="Verdana"/>
          <w:szCs w:val="18"/>
        </w:rPr>
        <w:t xml:space="preserve"> humanitair coördinatiesysteem</w:t>
      </w:r>
      <w:r w:rsidR="006A3C0C">
        <w:rPr>
          <w:rFonts w:cs="Verdana"/>
          <w:szCs w:val="18"/>
        </w:rPr>
        <w:t>, o</w:t>
      </w:r>
      <w:r w:rsidR="009D4AA1">
        <w:rPr>
          <w:rFonts w:cs="Verdana"/>
          <w:szCs w:val="18"/>
        </w:rPr>
        <w:t>nder meer</w:t>
      </w:r>
      <w:r w:rsidR="006A3C0C" w:rsidRPr="00C044F5">
        <w:rPr>
          <w:rFonts w:cs="Verdana"/>
          <w:szCs w:val="18"/>
        </w:rPr>
        <w:t xml:space="preserve"> door middel van de implementatie van </w:t>
      </w:r>
      <w:r w:rsidR="006A3C0C">
        <w:rPr>
          <w:rFonts w:cs="Verdana"/>
          <w:szCs w:val="18"/>
        </w:rPr>
        <w:t>de z</w:t>
      </w:r>
      <w:r w:rsidR="00CB0927">
        <w:rPr>
          <w:rFonts w:cs="Verdana"/>
          <w:szCs w:val="18"/>
        </w:rPr>
        <w:t>ogenaamde</w:t>
      </w:r>
      <w:r w:rsidR="001D5910">
        <w:rPr>
          <w:rFonts w:cs="Verdana"/>
          <w:szCs w:val="18"/>
        </w:rPr>
        <w:t xml:space="preserve"> </w:t>
      </w:r>
      <w:proofErr w:type="spellStart"/>
      <w:r w:rsidR="006A3C0C" w:rsidRPr="00C044F5">
        <w:rPr>
          <w:rFonts w:cs="Verdana"/>
          <w:i/>
          <w:szCs w:val="18"/>
        </w:rPr>
        <w:t>Transformative</w:t>
      </w:r>
      <w:proofErr w:type="spellEnd"/>
      <w:r w:rsidR="006A3C0C" w:rsidRPr="00C044F5">
        <w:rPr>
          <w:rFonts w:cs="Verdana"/>
          <w:i/>
          <w:szCs w:val="18"/>
        </w:rPr>
        <w:t xml:space="preserve"> Agenda, </w:t>
      </w:r>
      <w:r w:rsidR="006A3C0C" w:rsidRPr="00C044F5">
        <w:rPr>
          <w:rFonts w:cs="Verdana"/>
          <w:szCs w:val="18"/>
        </w:rPr>
        <w:t xml:space="preserve">waarmee </w:t>
      </w:r>
      <w:r w:rsidR="006A3C0C">
        <w:rPr>
          <w:rFonts w:cs="Verdana"/>
          <w:szCs w:val="18"/>
        </w:rPr>
        <w:t>verbeteringen worden doorgevoerd op gebied van leiderschap, coördinatie en verantwoording. Daarnaast</w:t>
      </w:r>
      <w:r w:rsidR="006A3C0C" w:rsidRPr="00C044F5">
        <w:rPr>
          <w:rFonts w:cs="Verdana"/>
          <w:szCs w:val="18"/>
        </w:rPr>
        <w:t xml:space="preserve"> </w:t>
      </w:r>
      <w:r w:rsidR="006A3C0C">
        <w:rPr>
          <w:rFonts w:cs="Verdana"/>
          <w:szCs w:val="18"/>
        </w:rPr>
        <w:t xml:space="preserve">richt de organisatie zich op het creëren van een gunstige </w:t>
      </w:r>
      <w:r w:rsidR="006A3C0C" w:rsidRPr="00C044F5">
        <w:rPr>
          <w:rFonts w:cs="Verdana"/>
          <w:szCs w:val="18"/>
        </w:rPr>
        <w:t>omgeving voor humanitaire inzet, o</w:t>
      </w:r>
      <w:r w:rsidR="00CB0927">
        <w:rPr>
          <w:rFonts w:cs="Verdana"/>
          <w:szCs w:val="18"/>
        </w:rPr>
        <w:t>nder andere</w:t>
      </w:r>
      <w:r w:rsidR="006A3C0C" w:rsidRPr="00C044F5">
        <w:rPr>
          <w:rFonts w:cs="Verdana"/>
          <w:szCs w:val="18"/>
        </w:rPr>
        <w:t xml:space="preserve"> door het versterken van partnerschappen met een groot aantal lidstaten</w:t>
      </w:r>
      <w:r w:rsidR="00336E85">
        <w:rPr>
          <w:rFonts w:cs="Verdana"/>
          <w:szCs w:val="18"/>
        </w:rPr>
        <w:t xml:space="preserve"> en</w:t>
      </w:r>
      <w:r w:rsidR="006A3C0C" w:rsidRPr="00C044F5">
        <w:rPr>
          <w:rFonts w:cs="Verdana"/>
          <w:szCs w:val="18"/>
        </w:rPr>
        <w:t xml:space="preserve"> het uitbreiden van </w:t>
      </w:r>
      <w:r w:rsidR="00D47B53">
        <w:rPr>
          <w:rFonts w:cs="Verdana"/>
          <w:szCs w:val="18"/>
        </w:rPr>
        <w:t>p</w:t>
      </w:r>
      <w:r w:rsidR="006A3C0C" w:rsidRPr="00C044F5">
        <w:rPr>
          <w:rFonts w:cs="Verdana"/>
          <w:szCs w:val="18"/>
        </w:rPr>
        <w:t xml:space="preserve">artnerschappen met andere actoren. </w:t>
      </w:r>
      <w:r w:rsidR="006A3C0C">
        <w:rPr>
          <w:rFonts w:cs="Verdana"/>
          <w:szCs w:val="18"/>
        </w:rPr>
        <w:t xml:space="preserve">OCHA beheert tevens het </w:t>
      </w:r>
      <w:r w:rsidR="00347ABB">
        <w:rPr>
          <w:rFonts w:cs="Verdana"/>
          <w:szCs w:val="18"/>
        </w:rPr>
        <w:t xml:space="preserve">online platform </w:t>
      </w:r>
      <w:r w:rsidR="006A3C0C">
        <w:rPr>
          <w:rFonts w:cs="Verdana"/>
          <w:i/>
          <w:szCs w:val="18"/>
        </w:rPr>
        <w:t>Financial Tracking System</w:t>
      </w:r>
      <w:r w:rsidR="006A3C0C">
        <w:rPr>
          <w:rFonts w:cs="Verdana"/>
          <w:szCs w:val="18"/>
        </w:rPr>
        <w:t>, dat planning en bestedingen van humanitaire hulp zichtbaar maakt.</w:t>
      </w:r>
    </w:p>
    <w:p w14:paraId="3D10B476" w14:textId="77777777" w:rsidR="009E539D" w:rsidRPr="00C044F5" w:rsidRDefault="009E539D" w:rsidP="009E539D"/>
    <w:p w14:paraId="3D10B477" w14:textId="1E85C628" w:rsidR="009E539D" w:rsidRPr="001D5910" w:rsidRDefault="009E539D" w:rsidP="009E539D">
      <w:pPr>
        <w:rPr>
          <w:i/>
          <w:szCs w:val="22"/>
        </w:rPr>
      </w:pPr>
      <w:r w:rsidRPr="001D5910">
        <w:rPr>
          <w:i/>
          <w:szCs w:val="22"/>
        </w:rPr>
        <w:t>Voortgang op de implementatie van de QCPR-resolutie uit 201</w:t>
      </w:r>
      <w:r w:rsidR="00522A8A">
        <w:rPr>
          <w:i/>
          <w:szCs w:val="22"/>
        </w:rPr>
        <w:t>6</w:t>
      </w:r>
      <w:r w:rsidR="00FC79A4">
        <w:rPr>
          <w:rStyle w:val="FootnoteReference"/>
          <w:i/>
          <w:szCs w:val="22"/>
        </w:rPr>
        <w:footnoteReference w:id="5"/>
      </w:r>
    </w:p>
    <w:p w14:paraId="3D10B478" w14:textId="2133F466" w:rsidR="009E539D" w:rsidRDefault="001D5910" w:rsidP="009E539D">
      <w:pPr>
        <w:rPr>
          <w:szCs w:val="18"/>
        </w:rPr>
      </w:pPr>
      <w:r w:rsidRPr="001D5910">
        <w:rPr>
          <w:szCs w:val="22"/>
        </w:rPr>
        <w:t xml:space="preserve">OCHA houdt zich bezig met de </w:t>
      </w:r>
      <w:r w:rsidR="009E539D" w:rsidRPr="001D5910">
        <w:rPr>
          <w:szCs w:val="22"/>
        </w:rPr>
        <w:t>implementatie van de</w:t>
      </w:r>
      <w:r w:rsidRPr="001D5910">
        <w:rPr>
          <w:szCs w:val="22"/>
        </w:rPr>
        <w:t xml:space="preserve"> voor de humanitaire sector relevante onderdelen van de</w:t>
      </w:r>
      <w:r w:rsidR="009E539D" w:rsidRPr="001D5910">
        <w:rPr>
          <w:szCs w:val="22"/>
        </w:rPr>
        <w:t xml:space="preserve"> QCPR-resolutie. </w:t>
      </w:r>
      <w:r w:rsidR="00522A8A">
        <w:rPr>
          <w:szCs w:val="22"/>
        </w:rPr>
        <w:t xml:space="preserve">De resolutie spreekt onder meer van </w:t>
      </w:r>
      <w:r w:rsidR="00522A8A" w:rsidRPr="00522A8A">
        <w:rPr>
          <w:i/>
          <w:szCs w:val="22"/>
        </w:rPr>
        <w:t xml:space="preserve">'joint risk analysis en </w:t>
      </w:r>
      <w:proofErr w:type="spellStart"/>
      <w:r w:rsidR="00522A8A" w:rsidRPr="00522A8A">
        <w:rPr>
          <w:i/>
          <w:szCs w:val="22"/>
        </w:rPr>
        <w:t>needs</w:t>
      </w:r>
      <w:proofErr w:type="spellEnd"/>
      <w:r w:rsidR="00522A8A" w:rsidRPr="00522A8A">
        <w:rPr>
          <w:i/>
          <w:szCs w:val="22"/>
        </w:rPr>
        <w:t xml:space="preserve"> assessments'</w:t>
      </w:r>
      <w:r w:rsidR="00522A8A">
        <w:rPr>
          <w:szCs w:val="22"/>
        </w:rPr>
        <w:t xml:space="preserve"> door humanitaire en ontwikkelingsactoren. OCHA speelt hier een leidende rol, en </w:t>
      </w:r>
      <w:r w:rsidR="009E539D" w:rsidRPr="001D5910">
        <w:rPr>
          <w:szCs w:val="22"/>
        </w:rPr>
        <w:t xml:space="preserve">draagt </w:t>
      </w:r>
      <w:r w:rsidR="00522A8A">
        <w:rPr>
          <w:szCs w:val="22"/>
        </w:rPr>
        <w:t xml:space="preserve">tevens </w:t>
      </w:r>
      <w:r w:rsidR="009E539D" w:rsidRPr="001D5910">
        <w:rPr>
          <w:szCs w:val="22"/>
        </w:rPr>
        <w:t>bij aan ‘</w:t>
      </w:r>
      <w:r w:rsidR="009E539D" w:rsidRPr="001D5910">
        <w:rPr>
          <w:i/>
          <w:szCs w:val="22"/>
        </w:rPr>
        <w:t xml:space="preserve">Delivering as </w:t>
      </w:r>
      <w:proofErr w:type="spellStart"/>
      <w:r w:rsidR="009E539D" w:rsidRPr="001D5910">
        <w:rPr>
          <w:i/>
          <w:szCs w:val="22"/>
        </w:rPr>
        <w:t>One</w:t>
      </w:r>
      <w:proofErr w:type="spellEnd"/>
      <w:r w:rsidR="009E539D" w:rsidRPr="001D5910">
        <w:rPr>
          <w:i/>
          <w:szCs w:val="22"/>
        </w:rPr>
        <w:t>’</w:t>
      </w:r>
      <w:r w:rsidR="009E539D" w:rsidRPr="001D5910">
        <w:rPr>
          <w:szCs w:val="22"/>
        </w:rPr>
        <w:t xml:space="preserve"> en gendergelijkheid</w:t>
      </w:r>
      <w:r w:rsidRPr="001D5910">
        <w:rPr>
          <w:szCs w:val="22"/>
        </w:rPr>
        <w:t>, en speelt een belangrijke faciliterende rol bij het bewerkstelligen van de samenhang tussen noodhulp, ontwikkeling en vredesopbouw</w:t>
      </w:r>
      <w:r w:rsidR="009E539D" w:rsidRPr="001D5910">
        <w:rPr>
          <w:szCs w:val="22"/>
        </w:rPr>
        <w:t>. Daarnaast houdt OCHA zich bezig met de implementatie van de</w:t>
      </w:r>
      <w:r w:rsidR="00086D83">
        <w:rPr>
          <w:szCs w:val="22"/>
        </w:rPr>
        <w:t xml:space="preserve"> hierboven genoemde</w:t>
      </w:r>
      <w:r w:rsidR="009E539D" w:rsidRPr="001D5910">
        <w:rPr>
          <w:szCs w:val="22"/>
        </w:rPr>
        <w:t xml:space="preserve"> </w:t>
      </w:r>
      <w:proofErr w:type="spellStart"/>
      <w:r w:rsidR="009E539D" w:rsidRPr="001D5910">
        <w:rPr>
          <w:i/>
          <w:szCs w:val="22"/>
        </w:rPr>
        <w:t>Transformative</w:t>
      </w:r>
      <w:proofErr w:type="spellEnd"/>
      <w:r w:rsidR="009E539D" w:rsidRPr="001D5910">
        <w:rPr>
          <w:i/>
          <w:szCs w:val="22"/>
        </w:rPr>
        <w:t xml:space="preserve"> Agenda</w:t>
      </w:r>
      <w:r w:rsidR="00086D83">
        <w:rPr>
          <w:i/>
          <w:szCs w:val="22"/>
        </w:rPr>
        <w:t>,</w:t>
      </w:r>
      <w:r w:rsidR="009E539D" w:rsidRPr="001D5910">
        <w:rPr>
          <w:szCs w:val="22"/>
        </w:rPr>
        <w:t xml:space="preserve"> een belangrijk initiatief van </w:t>
      </w:r>
      <w:r w:rsidR="00086D83">
        <w:rPr>
          <w:szCs w:val="22"/>
        </w:rPr>
        <w:t>de IASC</w:t>
      </w:r>
      <w:r w:rsidR="00522A8A">
        <w:rPr>
          <w:szCs w:val="22"/>
        </w:rPr>
        <w:t xml:space="preserve">, evenals de </w:t>
      </w:r>
      <w:r w:rsidR="00522A8A" w:rsidRPr="00522A8A">
        <w:rPr>
          <w:i/>
          <w:szCs w:val="22"/>
        </w:rPr>
        <w:t xml:space="preserve">New Way of </w:t>
      </w:r>
      <w:proofErr w:type="spellStart"/>
      <w:r w:rsidR="00522A8A" w:rsidRPr="00522A8A">
        <w:rPr>
          <w:i/>
          <w:szCs w:val="22"/>
        </w:rPr>
        <w:t>Working</w:t>
      </w:r>
      <w:proofErr w:type="spellEnd"/>
      <w:r w:rsidR="006C0DE3">
        <w:rPr>
          <w:szCs w:val="22"/>
        </w:rPr>
        <w:t xml:space="preserve"> die beoogt een sterkere samenhang tussen korte termijn humanitaire interventies en langere termijn ontwikkelingsdoelen tot stand te brengen</w:t>
      </w:r>
      <w:r w:rsidR="00086D83">
        <w:rPr>
          <w:szCs w:val="22"/>
        </w:rPr>
        <w:t xml:space="preserve">. </w:t>
      </w:r>
      <w:r w:rsidR="009E539D" w:rsidRPr="001D5910">
        <w:rPr>
          <w:szCs w:val="18"/>
        </w:rPr>
        <w:t xml:space="preserve">Het doel van de IASC is het verbeteren van de manier waarop humanitaire hulp wordt gegeven. Hiervoor </w:t>
      </w:r>
      <w:r w:rsidR="00E4642E" w:rsidRPr="001D5910">
        <w:rPr>
          <w:szCs w:val="18"/>
        </w:rPr>
        <w:t xml:space="preserve">zijn sinds de oprichting in 1992 geleidelijk </w:t>
      </w:r>
      <w:r w:rsidR="009E539D" w:rsidRPr="001D5910">
        <w:rPr>
          <w:szCs w:val="18"/>
        </w:rPr>
        <w:t>systeem-</w:t>
      </w:r>
      <w:r w:rsidR="00AD6A8B" w:rsidRPr="001D5910">
        <w:rPr>
          <w:szCs w:val="18"/>
        </w:rPr>
        <w:t>breed afspraken</w:t>
      </w:r>
      <w:r w:rsidR="00E4642E" w:rsidRPr="001D5910">
        <w:rPr>
          <w:szCs w:val="18"/>
        </w:rPr>
        <w:t xml:space="preserve"> gemaakt over </w:t>
      </w:r>
      <w:r w:rsidR="009E539D" w:rsidRPr="001D5910">
        <w:rPr>
          <w:szCs w:val="18"/>
        </w:rPr>
        <w:t>humanitair beleid</w:t>
      </w:r>
      <w:r w:rsidR="00E4642E" w:rsidRPr="001D5910">
        <w:rPr>
          <w:szCs w:val="18"/>
        </w:rPr>
        <w:t xml:space="preserve"> en kwaliteit (o.a. via IASC </w:t>
      </w:r>
      <w:proofErr w:type="spellStart"/>
      <w:r w:rsidR="00E4642E" w:rsidRPr="00AD6A8B">
        <w:rPr>
          <w:i/>
          <w:szCs w:val="18"/>
        </w:rPr>
        <w:t>guidelines</w:t>
      </w:r>
      <w:proofErr w:type="spellEnd"/>
      <w:r w:rsidR="00E4642E" w:rsidRPr="001D5910">
        <w:rPr>
          <w:szCs w:val="18"/>
        </w:rPr>
        <w:t xml:space="preserve"> die bindend zijn voor alle </w:t>
      </w:r>
      <w:r w:rsidR="00AD6A8B" w:rsidRPr="001D5910">
        <w:rPr>
          <w:szCs w:val="18"/>
        </w:rPr>
        <w:t>VN-organisaties</w:t>
      </w:r>
      <w:r w:rsidR="00C21CED" w:rsidRPr="001D5910">
        <w:rPr>
          <w:szCs w:val="18"/>
        </w:rPr>
        <w:t>) over processen en structuren</w:t>
      </w:r>
      <w:r w:rsidR="005321F1" w:rsidRPr="001D5910">
        <w:rPr>
          <w:szCs w:val="18"/>
        </w:rPr>
        <w:t xml:space="preserve">. </w:t>
      </w:r>
      <w:r w:rsidR="00086D83">
        <w:rPr>
          <w:szCs w:val="18"/>
        </w:rPr>
        <w:t xml:space="preserve">Het doel is </w:t>
      </w:r>
      <w:r w:rsidR="00C21CED" w:rsidRPr="001D5910">
        <w:rPr>
          <w:szCs w:val="18"/>
        </w:rPr>
        <w:t>het clustersysteem te versterken</w:t>
      </w:r>
      <w:r w:rsidR="00086D83">
        <w:rPr>
          <w:szCs w:val="18"/>
        </w:rPr>
        <w:t xml:space="preserve">, </w:t>
      </w:r>
      <w:r w:rsidR="009E539D" w:rsidRPr="001D5910">
        <w:rPr>
          <w:szCs w:val="18"/>
        </w:rPr>
        <w:t xml:space="preserve">tijdigheid en effectiviteit van de gezamenlijke humanitaire respons </w:t>
      </w:r>
      <w:r w:rsidR="00086D83">
        <w:rPr>
          <w:szCs w:val="18"/>
        </w:rPr>
        <w:t xml:space="preserve">te verbeteren </w:t>
      </w:r>
      <w:r w:rsidR="009E539D" w:rsidRPr="001D5910">
        <w:rPr>
          <w:szCs w:val="18"/>
        </w:rPr>
        <w:t xml:space="preserve">d.m.v. beter leiderschap en </w:t>
      </w:r>
      <w:r w:rsidR="009E539D" w:rsidRPr="001D5910">
        <w:rPr>
          <w:szCs w:val="18"/>
        </w:rPr>
        <w:lastRenderedPageBreak/>
        <w:t xml:space="preserve">coördinatiestructuren, en verantwoording </w:t>
      </w:r>
      <w:r w:rsidR="00086D83">
        <w:rPr>
          <w:szCs w:val="18"/>
        </w:rPr>
        <w:t xml:space="preserve">te verbeteren </w:t>
      </w:r>
      <w:r w:rsidR="00522A8A">
        <w:rPr>
          <w:szCs w:val="18"/>
        </w:rPr>
        <w:t xml:space="preserve">richting donoren, maar ook richting </w:t>
      </w:r>
      <w:r w:rsidR="009E539D" w:rsidRPr="001D5910">
        <w:rPr>
          <w:szCs w:val="18"/>
        </w:rPr>
        <w:t>de mensen die getroffen zijn door een crisis.</w:t>
      </w:r>
      <w:r w:rsidR="00C21CED" w:rsidRPr="001D5910">
        <w:rPr>
          <w:szCs w:val="18"/>
        </w:rPr>
        <w:t xml:space="preserve"> </w:t>
      </w:r>
    </w:p>
    <w:p w14:paraId="3D10B479" w14:textId="77777777" w:rsidR="00AB0659" w:rsidRPr="0001310F" w:rsidRDefault="00AB0659" w:rsidP="00AB0659">
      <w:pPr>
        <w:rPr>
          <w:szCs w:val="18"/>
        </w:rPr>
      </w:pPr>
    </w:p>
    <w:p w14:paraId="3D10B47A" w14:textId="77777777" w:rsidR="00687861" w:rsidRPr="0001310F" w:rsidRDefault="00687861" w:rsidP="00AB0659">
      <w:pPr>
        <w:rPr>
          <w:szCs w:val="18"/>
        </w:rPr>
      </w:pPr>
      <w:r w:rsidRPr="0001310F">
        <w:rPr>
          <w:i/>
          <w:szCs w:val="18"/>
        </w:rPr>
        <w:t>Evaluaties</w:t>
      </w:r>
    </w:p>
    <w:p w14:paraId="3D10B47B" w14:textId="49B1F787" w:rsidR="004943C2" w:rsidRPr="0001310F" w:rsidRDefault="004943C2" w:rsidP="004943C2">
      <w:pPr>
        <w:pStyle w:val="NormalWeb"/>
        <w:rPr>
          <w:szCs w:val="18"/>
        </w:rPr>
      </w:pPr>
      <w:r w:rsidRPr="0001310F">
        <w:rPr>
          <w:szCs w:val="18"/>
        </w:rPr>
        <w:t xml:space="preserve">In 2016 heeft OCHA op initiatief van de nieuwe USG </w:t>
      </w:r>
      <w:proofErr w:type="spellStart"/>
      <w:r w:rsidRPr="0001310F">
        <w:rPr>
          <w:szCs w:val="18"/>
        </w:rPr>
        <w:t>O’Brien</w:t>
      </w:r>
      <w:proofErr w:type="spellEnd"/>
      <w:r w:rsidRPr="0001310F">
        <w:rPr>
          <w:szCs w:val="18"/>
        </w:rPr>
        <w:t xml:space="preserve"> een interne organisatiedoorlichting (</w:t>
      </w:r>
      <w:proofErr w:type="spellStart"/>
      <w:r w:rsidRPr="0001310F">
        <w:rPr>
          <w:i/>
          <w:szCs w:val="18"/>
        </w:rPr>
        <w:t>Functional</w:t>
      </w:r>
      <w:proofErr w:type="spellEnd"/>
      <w:r w:rsidRPr="0001310F">
        <w:rPr>
          <w:i/>
          <w:szCs w:val="18"/>
        </w:rPr>
        <w:t xml:space="preserve"> Review</w:t>
      </w:r>
      <w:r w:rsidRPr="0001310F">
        <w:rPr>
          <w:szCs w:val="18"/>
        </w:rPr>
        <w:t xml:space="preserve">) laten uitvoeren door externe consultants. Het doel van deze doorlichting was het verbeteren van </w:t>
      </w:r>
      <w:proofErr w:type="spellStart"/>
      <w:r w:rsidRPr="0001310F">
        <w:rPr>
          <w:szCs w:val="18"/>
        </w:rPr>
        <w:t>OCHA’s</w:t>
      </w:r>
      <w:proofErr w:type="spellEnd"/>
      <w:r w:rsidRPr="0001310F">
        <w:rPr>
          <w:szCs w:val="18"/>
        </w:rPr>
        <w:t xml:space="preserve"> effectiviteit en efficiëntie door ervoor te zorgen dat de structuur, middelen en capaciteiten zo goed mogelijk worden ingezet om het mandaat te kunnen vervullen. Deze exercitie was nadrukkelijk geen evaluatie van het functioneren van OCHA, maar bedoeld om problemen en mogelijkheden voor verbetering </w:t>
      </w:r>
      <w:r w:rsidRPr="0001310F">
        <w:rPr>
          <w:rStyle w:val="Emphasis"/>
          <w:szCs w:val="18"/>
        </w:rPr>
        <w:t>binnen</w:t>
      </w:r>
      <w:r w:rsidRPr="0001310F">
        <w:rPr>
          <w:szCs w:val="18"/>
        </w:rPr>
        <w:t xml:space="preserve"> de organisatie bloot te leggen</w:t>
      </w:r>
      <w:r w:rsidR="00210A12">
        <w:rPr>
          <w:szCs w:val="18"/>
        </w:rPr>
        <w:t>, zoals interne verkokering en soms moeizame relatie met andere VN-onderdelen</w:t>
      </w:r>
      <w:r w:rsidRPr="0001310F">
        <w:rPr>
          <w:szCs w:val="18"/>
        </w:rPr>
        <w:t>. De afgelopen maanden is OCHA voortvarend aan het werk gegaan om opvolging te geven aan de aanbevelingen en de geconstateerde tekortkomingen daadkrachtig aan te pakken. Actie zal onder andere worden genomen op het ontwikkelen en communiceren van een heldere strategische visie op de organisatie, het verbeteren van het management- en organisatiemodel, en verbetering van het personeelsbeleid en de organisatiecultuur.</w:t>
      </w:r>
      <w:r w:rsidR="00E26E4E" w:rsidRPr="0001310F">
        <w:rPr>
          <w:szCs w:val="18"/>
        </w:rPr>
        <w:t xml:space="preserve"> </w:t>
      </w:r>
      <w:r w:rsidRPr="0001310F">
        <w:rPr>
          <w:szCs w:val="18"/>
        </w:rPr>
        <w:t xml:space="preserve">De MOPAN-evaluatie van OCHA 2015-2016 bevestigde het beeld van een organisatie met onvoldoende aandacht voor de strategische richting en management. De constructief-kritische rol van donoren als Nederland </w:t>
      </w:r>
      <w:r w:rsidR="00062992">
        <w:rPr>
          <w:szCs w:val="18"/>
        </w:rPr>
        <w:t xml:space="preserve">is een </w:t>
      </w:r>
      <w:r w:rsidRPr="0001310F">
        <w:rPr>
          <w:szCs w:val="18"/>
        </w:rPr>
        <w:t xml:space="preserve">belangrijke </w:t>
      </w:r>
      <w:r w:rsidR="00062992">
        <w:rPr>
          <w:szCs w:val="18"/>
        </w:rPr>
        <w:t>factor</w:t>
      </w:r>
      <w:r w:rsidRPr="0001310F">
        <w:rPr>
          <w:szCs w:val="18"/>
        </w:rPr>
        <w:t xml:space="preserve"> in het noodzakelijke hervormingsproces dat het komend jaar zijn beslag moet krijgen in een verbeterd management, financieel raamwerk en organisatiestructuur die vanuit een duidelijke strategische visie in samenhang opereren om </w:t>
      </w:r>
      <w:proofErr w:type="spellStart"/>
      <w:r w:rsidRPr="0001310F">
        <w:rPr>
          <w:szCs w:val="18"/>
        </w:rPr>
        <w:t>OCHA’s</w:t>
      </w:r>
      <w:proofErr w:type="spellEnd"/>
      <w:r w:rsidRPr="0001310F">
        <w:rPr>
          <w:szCs w:val="18"/>
        </w:rPr>
        <w:t xml:space="preserve"> doelen te verwezenlijken.</w:t>
      </w:r>
    </w:p>
    <w:p w14:paraId="3D10B47C" w14:textId="77777777" w:rsidR="00E26E4E" w:rsidRPr="00973153" w:rsidRDefault="00E26E4E" w:rsidP="004943C2">
      <w:pPr>
        <w:pStyle w:val="NormalWeb"/>
        <w:rPr>
          <w:rFonts w:ascii="Calibri" w:hAnsi="Calibri"/>
          <w:i/>
          <w:sz w:val="22"/>
          <w:szCs w:val="22"/>
        </w:rPr>
      </w:pPr>
    </w:p>
    <w:p w14:paraId="3D10B47D" w14:textId="6E042CE9" w:rsidR="00D745A7" w:rsidRDefault="00633895" w:rsidP="00B142B1">
      <w:pPr>
        <w:pStyle w:val="Heading2"/>
        <w:numPr>
          <w:ilvl w:val="1"/>
          <w:numId w:val="21"/>
        </w:numPr>
        <w:tabs>
          <w:tab w:val="left" w:pos="-1162"/>
          <w:tab w:val="left" w:pos="0"/>
        </w:tabs>
        <w:spacing w:line="240" w:lineRule="auto"/>
      </w:pPr>
      <w:r>
        <w:t xml:space="preserve">             </w:t>
      </w:r>
      <w:bookmarkStart w:id="25" w:name="_Toc491439700"/>
      <w:r w:rsidR="00D745A7" w:rsidRPr="00973153">
        <w:t xml:space="preserve">Nederlandse </w:t>
      </w:r>
      <w:r w:rsidR="000304C1" w:rsidRPr="00973153">
        <w:t>rol en invloed</w:t>
      </w:r>
      <w:bookmarkEnd w:id="25"/>
    </w:p>
    <w:p w14:paraId="3D10B47E" w14:textId="6DCBBDB4" w:rsidR="00ED3801" w:rsidRDefault="00ED3801" w:rsidP="00ED3801">
      <w:pPr>
        <w:rPr>
          <w:szCs w:val="18"/>
        </w:rPr>
      </w:pPr>
      <w:r w:rsidRPr="00205F05">
        <w:rPr>
          <w:szCs w:val="18"/>
        </w:rPr>
        <w:t>Omdat OCHA onderdeel is van het VN-</w:t>
      </w:r>
      <w:r w:rsidR="00CB0927">
        <w:rPr>
          <w:szCs w:val="18"/>
        </w:rPr>
        <w:t>S</w:t>
      </w:r>
      <w:r w:rsidRPr="00205F05">
        <w:rPr>
          <w:szCs w:val="18"/>
        </w:rPr>
        <w:t>ecretariaat heeft OCHA geen Executive Board dat een formeel platform vormt voor dialoog met en verantwoording aan donoren. Wel zijn er a</w:t>
      </w:r>
      <w:r>
        <w:rPr>
          <w:szCs w:val="18"/>
        </w:rPr>
        <w:t>ndere gelegenheden voor dialoog en aansturing. Zo is er</w:t>
      </w:r>
      <w:r w:rsidRPr="00205F05">
        <w:rPr>
          <w:szCs w:val="18"/>
        </w:rPr>
        <w:t xml:space="preserve"> de </w:t>
      </w:r>
      <w:r w:rsidRPr="00862F04">
        <w:rPr>
          <w:szCs w:val="18"/>
        </w:rPr>
        <w:t xml:space="preserve">OCHA </w:t>
      </w:r>
      <w:r w:rsidRPr="00862F04">
        <w:rPr>
          <w:i/>
          <w:szCs w:val="18"/>
        </w:rPr>
        <w:t>Donor Support Group (ODSG)</w:t>
      </w:r>
      <w:r w:rsidRPr="005D1C64">
        <w:rPr>
          <w:b/>
          <w:szCs w:val="18"/>
        </w:rPr>
        <w:t xml:space="preserve"> </w:t>
      </w:r>
      <w:r>
        <w:rPr>
          <w:szCs w:val="18"/>
        </w:rPr>
        <w:t xml:space="preserve">bestaande uit </w:t>
      </w:r>
      <w:r w:rsidRPr="00205F05">
        <w:rPr>
          <w:szCs w:val="18"/>
        </w:rPr>
        <w:t>donoren.</w:t>
      </w:r>
      <w:r>
        <w:rPr>
          <w:szCs w:val="18"/>
        </w:rPr>
        <w:t xml:space="preserve"> De ODSG fungeert als klankbord en adviseert OCHA op regelmatige basis op kwesties van beleid, management, resultaten en financiën. </w:t>
      </w:r>
      <w:r w:rsidRPr="00205F05">
        <w:rPr>
          <w:szCs w:val="18"/>
        </w:rPr>
        <w:t xml:space="preserve">De ODSG komt diverse malen per jaar bijeen in New York en Genève. Namens Nederland neemt de PV New York of PV Genève deel. Bij de jaarlijkse </w:t>
      </w:r>
      <w:r w:rsidR="00501C53" w:rsidRPr="00A84AEB">
        <w:rPr>
          <w:i/>
          <w:szCs w:val="18"/>
        </w:rPr>
        <w:t>ODSG High Level Meeting</w:t>
      </w:r>
      <w:r w:rsidRPr="00205F05">
        <w:rPr>
          <w:szCs w:val="18"/>
        </w:rPr>
        <w:t xml:space="preserve"> is Nederland aanwezig met een delegatie uit Den Haag.</w:t>
      </w:r>
      <w:r>
        <w:rPr>
          <w:szCs w:val="18"/>
        </w:rPr>
        <w:t xml:space="preserve"> Teneinde het functioneren van OCHA in het veld te monitoren bezoekt de ODSG jaarlijks een crisissituatie in het veld. Daarnaast is er de </w:t>
      </w:r>
      <w:proofErr w:type="spellStart"/>
      <w:r w:rsidRPr="003D474C">
        <w:rPr>
          <w:i/>
          <w:szCs w:val="18"/>
        </w:rPr>
        <w:t>Humanitarian</w:t>
      </w:r>
      <w:proofErr w:type="spellEnd"/>
      <w:r w:rsidRPr="003D474C">
        <w:rPr>
          <w:i/>
          <w:szCs w:val="18"/>
        </w:rPr>
        <w:t xml:space="preserve"> Liaison </w:t>
      </w:r>
      <w:proofErr w:type="spellStart"/>
      <w:r w:rsidRPr="003D474C">
        <w:rPr>
          <w:i/>
          <w:szCs w:val="18"/>
        </w:rPr>
        <w:t>Working</w:t>
      </w:r>
      <w:proofErr w:type="spellEnd"/>
      <w:r w:rsidRPr="003D474C">
        <w:rPr>
          <w:i/>
          <w:szCs w:val="18"/>
        </w:rPr>
        <w:t xml:space="preserve"> Group (HLWG) </w:t>
      </w:r>
      <w:r>
        <w:rPr>
          <w:szCs w:val="18"/>
        </w:rPr>
        <w:t xml:space="preserve">waarin donoren, </w:t>
      </w:r>
      <w:r w:rsidR="0082114C">
        <w:rPr>
          <w:szCs w:val="18"/>
        </w:rPr>
        <w:t>VN-organisaties</w:t>
      </w:r>
      <w:r w:rsidR="00B1678C">
        <w:rPr>
          <w:szCs w:val="18"/>
        </w:rPr>
        <w:t xml:space="preserve">, de Rode Kruis Beweging, </w:t>
      </w:r>
      <w:proofErr w:type="spellStart"/>
      <w:r w:rsidR="00B1678C">
        <w:rPr>
          <w:szCs w:val="18"/>
        </w:rPr>
        <w:t>IN</w:t>
      </w:r>
      <w:r>
        <w:rPr>
          <w:szCs w:val="18"/>
        </w:rPr>
        <w:t>GO’s</w:t>
      </w:r>
      <w:proofErr w:type="spellEnd"/>
      <w:r>
        <w:rPr>
          <w:szCs w:val="18"/>
        </w:rPr>
        <w:t xml:space="preserve"> en </w:t>
      </w:r>
      <w:proofErr w:type="spellStart"/>
      <w:r>
        <w:rPr>
          <w:szCs w:val="18"/>
        </w:rPr>
        <w:t>NGO’s</w:t>
      </w:r>
      <w:proofErr w:type="spellEnd"/>
      <w:r>
        <w:rPr>
          <w:szCs w:val="18"/>
        </w:rPr>
        <w:t xml:space="preserve"> regelmatig samenkomen in New York en Genève om te discussiëren over verschillende humanitaire thema’s. </w:t>
      </w:r>
    </w:p>
    <w:p w14:paraId="3D10B47F" w14:textId="4A2CFA5B" w:rsidR="00ED3801" w:rsidRDefault="00ED3801" w:rsidP="00ED3801">
      <w:pPr>
        <w:spacing w:before="100" w:beforeAutospacing="1" w:after="100" w:afterAutospacing="1" w:line="240" w:lineRule="auto"/>
        <w:rPr>
          <w:szCs w:val="18"/>
        </w:rPr>
      </w:pPr>
      <w:r>
        <w:rPr>
          <w:szCs w:val="18"/>
        </w:rPr>
        <w:t xml:space="preserve">Voor het CERF zijn er drie keer per jaar reflectiemomenten. </w:t>
      </w:r>
      <w:r w:rsidRPr="004F5A3F">
        <w:rPr>
          <w:szCs w:val="18"/>
        </w:rPr>
        <w:t xml:space="preserve">In de jaarlijkse CERF High Level Meeting </w:t>
      </w:r>
      <w:r w:rsidR="00B1678C">
        <w:rPr>
          <w:szCs w:val="18"/>
        </w:rPr>
        <w:t xml:space="preserve">in de vorm van een </w:t>
      </w:r>
      <w:proofErr w:type="spellStart"/>
      <w:r w:rsidR="00501C53" w:rsidRPr="00A84AEB">
        <w:rPr>
          <w:i/>
          <w:szCs w:val="18"/>
        </w:rPr>
        <w:t>pledging</w:t>
      </w:r>
      <w:proofErr w:type="spellEnd"/>
      <w:r w:rsidR="00A84AEB">
        <w:rPr>
          <w:i/>
          <w:szCs w:val="18"/>
        </w:rPr>
        <w:t>-</w:t>
      </w:r>
      <w:r w:rsidR="00B1678C">
        <w:rPr>
          <w:szCs w:val="18"/>
        </w:rPr>
        <w:t xml:space="preserve">conferentie </w:t>
      </w:r>
      <w:r w:rsidRPr="004F5A3F">
        <w:rPr>
          <w:szCs w:val="18"/>
        </w:rPr>
        <w:t>bespreken OCHA, uitvoerende organisaties en donoren het beheer en de resultaten van het CERF. Nederland is aanwezig vanuit Den Haag of PV New York.</w:t>
      </w:r>
      <w:r>
        <w:rPr>
          <w:szCs w:val="18"/>
        </w:rPr>
        <w:t xml:space="preserve"> Daarnaast is er een CERF</w:t>
      </w:r>
      <w:r w:rsidR="00A84AEB">
        <w:rPr>
          <w:szCs w:val="18"/>
        </w:rPr>
        <w:t>-adviesgroep</w:t>
      </w:r>
      <w:r>
        <w:rPr>
          <w:szCs w:val="18"/>
        </w:rPr>
        <w:t xml:space="preserve"> bestaande uit roulerend lidmaatschap van 18 leden die </w:t>
      </w:r>
      <w:r w:rsidR="005321F1">
        <w:rPr>
          <w:szCs w:val="18"/>
        </w:rPr>
        <w:t xml:space="preserve">op persoonlijke titel worden uitgenodigd door de </w:t>
      </w:r>
      <w:r w:rsidR="00A84AEB">
        <w:rPr>
          <w:szCs w:val="18"/>
        </w:rPr>
        <w:t xml:space="preserve">Secretaris-Generaal (SG) van de VN </w:t>
      </w:r>
      <w:r w:rsidR="005321F1">
        <w:rPr>
          <w:szCs w:val="18"/>
        </w:rPr>
        <w:t xml:space="preserve">en </w:t>
      </w:r>
      <w:r>
        <w:rPr>
          <w:szCs w:val="18"/>
        </w:rPr>
        <w:t>twee keer per jaar samenkomen</w:t>
      </w:r>
      <w:r w:rsidR="00A84AEB">
        <w:rPr>
          <w:szCs w:val="18"/>
        </w:rPr>
        <w:t xml:space="preserve"> voor strategische besprekingen over het functioneren van CERF</w:t>
      </w:r>
      <w:r>
        <w:rPr>
          <w:szCs w:val="18"/>
        </w:rPr>
        <w:t xml:space="preserve">. </w:t>
      </w:r>
      <w:r w:rsidR="00A84AEB">
        <w:rPr>
          <w:szCs w:val="18"/>
        </w:rPr>
        <w:t>Nederland wordt hierin s</w:t>
      </w:r>
      <w:r>
        <w:rPr>
          <w:szCs w:val="18"/>
        </w:rPr>
        <w:t xml:space="preserve">inds november 2013 </w:t>
      </w:r>
      <w:r w:rsidR="00A84AEB">
        <w:rPr>
          <w:szCs w:val="18"/>
        </w:rPr>
        <w:t>vertegenwoordigd door</w:t>
      </w:r>
      <w:r>
        <w:rPr>
          <w:szCs w:val="18"/>
        </w:rPr>
        <w:t xml:space="preserve"> de directeur van de Directie Stabiliteit en Humanitaire Hulp. </w:t>
      </w:r>
      <w:r w:rsidR="005321F1">
        <w:rPr>
          <w:szCs w:val="18"/>
        </w:rPr>
        <w:t xml:space="preserve">De leden van de </w:t>
      </w:r>
      <w:r w:rsidR="00CB0927">
        <w:rPr>
          <w:szCs w:val="18"/>
        </w:rPr>
        <w:t>a</w:t>
      </w:r>
      <w:r w:rsidR="005321F1">
        <w:rPr>
          <w:szCs w:val="18"/>
        </w:rPr>
        <w:t>dvies</w:t>
      </w:r>
      <w:r w:rsidR="00CB0927">
        <w:rPr>
          <w:szCs w:val="18"/>
        </w:rPr>
        <w:t>g</w:t>
      </w:r>
      <w:r w:rsidR="005321F1">
        <w:rPr>
          <w:szCs w:val="18"/>
        </w:rPr>
        <w:t>roep worden voorts gezien als ‘ambassadeurs’ van CERF. De SG rapporteert jaarlijks</w:t>
      </w:r>
      <w:r w:rsidR="00B1678C">
        <w:rPr>
          <w:szCs w:val="18"/>
        </w:rPr>
        <w:t xml:space="preserve"> </w:t>
      </w:r>
      <w:r w:rsidR="005321F1">
        <w:rPr>
          <w:szCs w:val="18"/>
        </w:rPr>
        <w:t>aan de</w:t>
      </w:r>
      <w:r w:rsidR="00A84AEB">
        <w:rPr>
          <w:szCs w:val="18"/>
        </w:rPr>
        <w:t xml:space="preserve"> Algemene Vergadering van de VN </w:t>
      </w:r>
      <w:r w:rsidR="005321F1">
        <w:rPr>
          <w:szCs w:val="18"/>
        </w:rPr>
        <w:t>over de bereikte resultaten.</w:t>
      </w:r>
    </w:p>
    <w:p w14:paraId="3D10B480" w14:textId="5A4FDED9" w:rsidR="00ED3801" w:rsidRDefault="00ED3801" w:rsidP="00ED3801">
      <w:pPr>
        <w:rPr>
          <w:szCs w:val="18"/>
        </w:rPr>
      </w:pPr>
      <w:r w:rsidRPr="004F5A3F">
        <w:rPr>
          <w:szCs w:val="18"/>
        </w:rPr>
        <w:t xml:space="preserve">In de halfjaarlijkse </w:t>
      </w:r>
      <w:proofErr w:type="spellStart"/>
      <w:r w:rsidRPr="00045A1C">
        <w:rPr>
          <w:i/>
          <w:szCs w:val="18"/>
        </w:rPr>
        <w:t>Pooled</w:t>
      </w:r>
      <w:proofErr w:type="spellEnd"/>
      <w:r w:rsidRPr="00045A1C">
        <w:rPr>
          <w:i/>
          <w:szCs w:val="18"/>
        </w:rPr>
        <w:t xml:space="preserve"> Funds </w:t>
      </w:r>
      <w:proofErr w:type="spellStart"/>
      <w:r w:rsidRPr="00045A1C">
        <w:rPr>
          <w:i/>
          <w:szCs w:val="18"/>
        </w:rPr>
        <w:t>Working</w:t>
      </w:r>
      <w:proofErr w:type="spellEnd"/>
      <w:r w:rsidRPr="00045A1C">
        <w:rPr>
          <w:i/>
          <w:szCs w:val="18"/>
        </w:rPr>
        <w:t xml:space="preserve"> Group</w:t>
      </w:r>
      <w:r w:rsidR="005321F1">
        <w:rPr>
          <w:szCs w:val="18"/>
        </w:rPr>
        <w:t>, voorgezeten door OCHA en een donor (roulerende positie),</w:t>
      </w:r>
      <w:r w:rsidRPr="004F5A3F">
        <w:rPr>
          <w:szCs w:val="18"/>
        </w:rPr>
        <w:t xml:space="preserve"> bespreken OCHA, uitvoerende organisaties en donoren </w:t>
      </w:r>
      <w:r w:rsidRPr="004F5A3F">
        <w:rPr>
          <w:szCs w:val="18"/>
        </w:rPr>
        <w:lastRenderedPageBreak/>
        <w:t xml:space="preserve">het beheer en de resultaten van de </w:t>
      </w:r>
      <w:proofErr w:type="spellStart"/>
      <w:r w:rsidR="00B1678C">
        <w:rPr>
          <w:szCs w:val="18"/>
        </w:rPr>
        <w:t>CBPF</w:t>
      </w:r>
      <w:r w:rsidR="00AD6A8B">
        <w:rPr>
          <w:szCs w:val="18"/>
        </w:rPr>
        <w:t>’</w:t>
      </w:r>
      <w:r w:rsidR="00B1678C">
        <w:rPr>
          <w:szCs w:val="18"/>
        </w:rPr>
        <w:t>s</w:t>
      </w:r>
      <w:proofErr w:type="spellEnd"/>
      <w:r>
        <w:rPr>
          <w:szCs w:val="18"/>
        </w:rPr>
        <w:t xml:space="preserve"> </w:t>
      </w:r>
      <w:r w:rsidRPr="004F5A3F">
        <w:rPr>
          <w:szCs w:val="18"/>
        </w:rPr>
        <w:t>op landenniveau. Nederland neemt deel vanuit Den</w:t>
      </w:r>
      <w:r>
        <w:rPr>
          <w:szCs w:val="18"/>
        </w:rPr>
        <w:t xml:space="preserve"> Haag of PV New York/PV Genève.</w:t>
      </w:r>
    </w:p>
    <w:p w14:paraId="45251827" w14:textId="77777777" w:rsidR="00AD4A0F" w:rsidRPr="00ED3801" w:rsidRDefault="00AD4A0F" w:rsidP="00ED3801"/>
    <w:p w14:paraId="3D10B481" w14:textId="76C475B5" w:rsidR="00D745A7" w:rsidRDefault="00633895" w:rsidP="00B142B1">
      <w:pPr>
        <w:pStyle w:val="Heading2"/>
        <w:numPr>
          <w:ilvl w:val="1"/>
          <w:numId w:val="21"/>
        </w:numPr>
        <w:tabs>
          <w:tab w:val="left" w:pos="-1162"/>
          <w:tab w:val="left" w:pos="0"/>
        </w:tabs>
        <w:spacing w:line="240" w:lineRule="auto"/>
      </w:pPr>
      <w:r>
        <w:t xml:space="preserve">             </w:t>
      </w:r>
      <w:bookmarkStart w:id="26" w:name="_Toc491439701"/>
      <w:r w:rsidR="00D745A7">
        <w:t>Financiële omvang en bijdragen</w:t>
      </w:r>
      <w:bookmarkEnd w:id="26"/>
    </w:p>
    <w:p w14:paraId="3D10B482" w14:textId="775DE71A" w:rsidR="00304329" w:rsidRDefault="00304329" w:rsidP="00304329">
      <w:r>
        <w:t>Als gevolg van de sterk groeiende humanitaire noden in de afgelopen jaren is ook de vraag naar humanitaire hulpverlening substantieel toegenomen. Daarmee is het budget van OCHA en andere humanitaire VN-instellingen eveneens toegenomen. De bijdrage aan OCHA uit het reguliere VN-budget</w:t>
      </w:r>
      <w:r w:rsidR="004823D2">
        <w:t xml:space="preserve"> (</w:t>
      </w:r>
      <w:proofErr w:type="spellStart"/>
      <w:r w:rsidR="004823D2">
        <w:rPr>
          <w:i/>
        </w:rPr>
        <w:t>assessed</w:t>
      </w:r>
      <w:proofErr w:type="spellEnd"/>
      <w:r w:rsidR="004823D2">
        <w:rPr>
          <w:i/>
        </w:rPr>
        <w:t xml:space="preserve"> </w:t>
      </w:r>
      <w:proofErr w:type="spellStart"/>
      <w:r w:rsidR="004823D2">
        <w:rPr>
          <w:i/>
        </w:rPr>
        <w:t>contributions</w:t>
      </w:r>
      <w:proofErr w:type="spellEnd"/>
      <w:r w:rsidR="004823D2">
        <w:t>) is</w:t>
      </w:r>
      <w:r>
        <w:t xml:space="preserve"> constant en bedra</w:t>
      </w:r>
      <w:r w:rsidR="00AA48FF">
        <w:t>agt</w:t>
      </w:r>
      <w:r>
        <w:t xml:space="preserve"> ongeveer 5% van </w:t>
      </w:r>
      <w:proofErr w:type="spellStart"/>
      <w:r>
        <w:t>OCHA’s</w:t>
      </w:r>
      <w:proofErr w:type="spellEnd"/>
      <w:r>
        <w:t xml:space="preserve"> inkomsten (in 2016 </w:t>
      </w:r>
      <w:r w:rsidR="00CB0927">
        <w:t xml:space="preserve">was dit </w:t>
      </w:r>
      <w:r>
        <w:t xml:space="preserve">4%). De overige </w:t>
      </w:r>
      <w:r w:rsidR="00D13AD6">
        <w:t>(</w:t>
      </w:r>
      <w:r>
        <w:t>ruim</w:t>
      </w:r>
      <w:r w:rsidR="00D13AD6">
        <w:t>)</w:t>
      </w:r>
      <w:r>
        <w:t xml:space="preserve"> 95% van het budget wordt gefinancierd uit vrijwillige bijdragen van donoren, zowel </w:t>
      </w:r>
      <w:r w:rsidR="00145A7D">
        <w:rPr>
          <w:i/>
        </w:rPr>
        <w:t>non-</w:t>
      </w:r>
      <w:proofErr w:type="spellStart"/>
      <w:r w:rsidR="00145A7D">
        <w:rPr>
          <w:i/>
        </w:rPr>
        <w:t>core</w:t>
      </w:r>
      <w:proofErr w:type="spellEnd"/>
      <w:r>
        <w:t xml:space="preserve"> als </w:t>
      </w:r>
      <w:proofErr w:type="spellStart"/>
      <w:r w:rsidR="00145A7D">
        <w:rPr>
          <w:i/>
        </w:rPr>
        <w:t>core</w:t>
      </w:r>
      <w:proofErr w:type="spellEnd"/>
      <w:r>
        <w:t>, en uit de</w:t>
      </w:r>
      <w:r w:rsidR="00AD1DDD">
        <w:rPr>
          <w:i/>
        </w:rPr>
        <w:t xml:space="preserve"> </w:t>
      </w:r>
      <w:proofErr w:type="spellStart"/>
      <w:r w:rsidRPr="00AD1DDD">
        <w:rPr>
          <w:i/>
        </w:rPr>
        <w:t>cost</w:t>
      </w:r>
      <w:proofErr w:type="spellEnd"/>
      <w:r w:rsidRPr="00AD1DDD">
        <w:rPr>
          <w:i/>
        </w:rPr>
        <w:t xml:space="preserve"> recovery</w:t>
      </w:r>
      <w:r>
        <w:t xml:space="preserve"> van de administratie van de </w:t>
      </w:r>
      <w:proofErr w:type="spellStart"/>
      <w:r w:rsidRPr="00AD1DDD">
        <w:rPr>
          <w:i/>
        </w:rPr>
        <w:t>pooled</w:t>
      </w:r>
      <w:proofErr w:type="spellEnd"/>
      <w:r w:rsidRPr="00AD1DDD">
        <w:rPr>
          <w:i/>
        </w:rPr>
        <w:t xml:space="preserve"> funds</w:t>
      </w:r>
      <w:r>
        <w:t>.</w:t>
      </w:r>
      <w:r w:rsidR="00703D0F">
        <w:t xml:space="preserve"> OCHA ontving ongeveer de helft van de bijdragen </w:t>
      </w:r>
      <w:proofErr w:type="spellStart"/>
      <w:r w:rsidR="00145A7D" w:rsidRPr="00145A7D">
        <w:rPr>
          <w:i/>
        </w:rPr>
        <w:t>core</w:t>
      </w:r>
      <w:proofErr w:type="spellEnd"/>
      <w:r w:rsidR="00CB0927">
        <w:t>. D</w:t>
      </w:r>
      <w:r w:rsidR="00703D0F">
        <w:t xml:space="preserve">e laatste jaren </w:t>
      </w:r>
      <w:r w:rsidR="00CB0927">
        <w:t xml:space="preserve">is echter </w:t>
      </w:r>
      <w:r w:rsidR="00703D0F">
        <w:t xml:space="preserve">een trend zichtbaar in het verschuiven van </w:t>
      </w:r>
      <w:proofErr w:type="spellStart"/>
      <w:r w:rsidR="00145A7D" w:rsidRPr="00145A7D">
        <w:rPr>
          <w:i/>
        </w:rPr>
        <w:t>core</w:t>
      </w:r>
      <w:proofErr w:type="spellEnd"/>
      <w:r w:rsidR="00703D0F">
        <w:t xml:space="preserve"> naar </w:t>
      </w:r>
      <w:r w:rsidR="00145A7D">
        <w:rPr>
          <w:i/>
        </w:rPr>
        <w:t>non-</w:t>
      </w:r>
      <w:proofErr w:type="spellStart"/>
      <w:r w:rsidR="00145A7D" w:rsidRPr="00145A7D">
        <w:rPr>
          <w:i/>
        </w:rPr>
        <w:t>core</w:t>
      </w:r>
      <w:proofErr w:type="spellEnd"/>
      <w:r w:rsidR="00703D0F">
        <w:t xml:space="preserve"> bijdragen. In 2012 was het percentage </w:t>
      </w:r>
      <w:r w:rsidR="00051878">
        <w:t xml:space="preserve">totale </w:t>
      </w:r>
      <w:proofErr w:type="spellStart"/>
      <w:r w:rsidR="00145A7D" w:rsidRPr="00145A7D">
        <w:rPr>
          <w:i/>
        </w:rPr>
        <w:t>core</w:t>
      </w:r>
      <w:proofErr w:type="spellEnd"/>
      <w:r w:rsidR="00703D0F">
        <w:t xml:space="preserve"> bijdragen nog 51%. Dit is gestaag gezakt naar 43% in 2015, </w:t>
      </w:r>
      <w:r w:rsidR="00CB0927">
        <w:t xml:space="preserve">tot </w:t>
      </w:r>
      <w:r w:rsidR="00703D0F">
        <w:t>39%</w:t>
      </w:r>
      <w:r w:rsidR="00AD1DDD">
        <w:t xml:space="preserve"> in 2016</w:t>
      </w:r>
      <w:r w:rsidR="00703D0F">
        <w:t xml:space="preserve">. </w:t>
      </w:r>
    </w:p>
    <w:p w14:paraId="3D10B483" w14:textId="77777777" w:rsidR="00304329" w:rsidRDefault="00304329" w:rsidP="00304329"/>
    <w:p w14:paraId="3D10B484" w14:textId="56E24D56" w:rsidR="00CB156F" w:rsidRDefault="00304329" w:rsidP="00BE458E">
      <w:pPr>
        <w:rPr>
          <w:szCs w:val="18"/>
        </w:rPr>
      </w:pPr>
      <w:r>
        <w:t xml:space="preserve">Ook voor 2017 gaat OCHA in de begrotingsplanning uit van vrijwillige bijdragen van donoren van ongeveer USD 260 miljoen. Inclusief bijdragen uit het reguliere VN-budget en </w:t>
      </w:r>
      <w:proofErr w:type="spellStart"/>
      <w:r w:rsidRPr="00B1678C">
        <w:rPr>
          <w:i/>
        </w:rPr>
        <w:t>cost</w:t>
      </w:r>
      <w:proofErr w:type="spellEnd"/>
      <w:r w:rsidRPr="00B1678C">
        <w:rPr>
          <w:i/>
        </w:rPr>
        <w:t xml:space="preserve"> recovery</w:t>
      </w:r>
      <w:r>
        <w:t xml:space="preserve"> van de </w:t>
      </w:r>
      <w:proofErr w:type="spellStart"/>
      <w:r w:rsidRPr="00B1678C">
        <w:rPr>
          <w:i/>
        </w:rPr>
        <w:t>pooled</w:t>
      </w:r>
      <w:proofErr w:type="spellEnd"/>
      <w:r w:rsidRPr="00B1678C">
        <w:rPr>
          <w:i/>
        </w:rPr>
        <w:t xml:space="preserve"> funds</w:t>
      </w:r>
      <w:r>
        <w:t xml:space="preserve"> betekent dit een totale begroting van ruim USD 312 miljoen</w:t>
      </w:r>
      <w:r w:rsidR="00CB0927">
        <w:t>.</w:t>
      </w:r>
      <w:r>
        <w:t xml:space="preserve"> </w:t>
      </w:r>
      <w:proofErr w:type="spellStart"/>
      <w:r>
        <w:t>OCHA’s</w:t>
      </w:r>
      <w:proofErr w:type="spellEnd"/>
      <w:r>
        <w:t xml:space="preserve"> budget bedroeg de afgelopen </w:t>
      </w:r>
      <w:r w:rsidR="00D13AD6">
        <w:t xml:space="preserve">jaren </w:t>
      </w:r>
      <w:r>
        <w:t>ongeveer 1,5% van de wereldwijde humanitaire appeal, hetgeen met het dalende budget terug zal lopen tot ongeveer 1,2% in 2017</w:t>
      </w:r>
      <w:r w:rsidR="00210A12">
        <w:t xml:space="preserve"> (ondanks toenemende noden en stijgende verwachtingen van OCHA als humanitaire leider)</w:t>
      </w:r>
      <w:r>
        <w:t>.</w:t>
      </w:r>
      <w:r w:rsidR="00210A12">
        <w:t xml:space="preserve"> </w:t>
      </w:r>
      <w:r>
        <w:rPr>
          <w:szCs w:val="18"/>
        </w:rPr>
        <w:t xml:space="preserve">Nederland is een gewaardeerde donor van OCHA. Met de oprichting van het </w:t>
      </w:r>
      <w:proofErr w:type="spellStart"/>
      <w:r w:rsidR="00501C53" w:rsidRPr="008C69AF">
        <w:rPr>
          <w:i/>
          <w:szCs w:val="18"/>
        </w:rPr>
        <w:t>Relief</w:t>
      </w:r>
      <w:proofErr w:type="spellEnd"/>
      <w:r w:rsidR="00501C53" w:rsidRPr="008C69AF">
        <w:rPr>
          <w:i/>
          <w:szCs w:val="18"/>
        </w:rPr>
        <w:t xml:space="preserve"> Fund</w:t>
      </w:r>
      <w:r>
        <w:rPr>
          <w:szCs w:val="18"/>
        </w:rPr>
        <w:t xml:space="preserve"> in 2014 is de totaal beschikbare ruimte toegenomen. Sinds</w:t>
      </w:r>
      <w:r w:rsidR="0001310F">
        <w:rPr>
          <w:szCs w:val="18"/>
        </w:rPr>
        <w:t xml:space="preserve"> enkele jaren</w:t>
      </w:r>
      <w:r>
        <w:rPr>
          <w:szCs w:val="18"/>
        </w:rPr>
        <w:t xml:space="preserve"> draagt Nederland jaarlijks een </w:t>
      </w:r>
      <w:proofErr w:type="spellStart"/>
      <w:r w:rsidR="00145A7D" w:rsidRPr="00145A7D">
        <w:rPr>
          <w:i/>
        </w:rPr>
        <w:t>core</w:t>
      </w:r>
      <w:proofErr w:type="spellEnd"/>
      <w:r>
        <w:rPr>
          <w:szCs w:val="18"/>
        </w:rPr>
        <w:t xml:space="preserve"> bedrag van EUR 5 miljoen bij aan de </w:t>
      </w:r>
      <w:proofErr w:type="spellStart"/>
      <w:r w:rsidRPr="00AD6A8B">
        <w:rPr>
          <w:i/>
          <w:szCs w:val="18"/>
        </w:rPr>
        <w:t>core</w:t>
      </w:r>
      <w:proofErr w:type="spellEnd"/>
      <w:r>
        <w:rPr>
          <w:szCs w:val="18"/>
        </w:rPr>
        <w:t xml:space="preserve"> bijdragen van OCHA. </w:t>
      </w:r>
      <w:r w:rsidR="007A76A0">
        <w:rPr>
          <w:szCs w:val="18"/>
        </w:rPr>
        <w:t xml:space="preserve">Ook </w:t>
      </w:r>
      <w:r>
        <w:rPr>
          <w:szCs w:val="18"/>
        </w:rPr>
        <w:t xml:space="preserve">draagt Nederland bij aan het CERF (met de instelling van het </w:t>
      </w:r>
      <w:proofErr w:type="spellStart"/>
      <w:r>
        <w:rPr>
          <w:szCs w:val="18"/>
        </w:rPr>
        <w:t>Relief</w:t>
      </w:r>
      <w:proofErr w:type="spellEnd"/>
      <w:r>
        <w:rPr>
          <w:szCs w:val="18"/>
        </w:rPr>
        <w:t xml:space="preserve"> Fund is de jaarlijkse bijdrage verhoogd van EUR 40 miljoen </w:t>
      </w:r>
      <w:r w:rsidR="00B1678C">
        <w:rPr>
          <w:szCs w:val="18"/>
        </w:rPr>
        <w:t xml:space="preserve">in 2014 </w:t>
      </w:r>
      <w:r>
        <w:rPr>
          <w:szCs w:val="18"/>
        </w:rPr>
        <w:t>naar EUR 55 miljoen</w:t>
      </w:r>
      <w:r w:rsidR="008C69AF">
        <w:rPr>
          <w:szCs w:val="18"/>
        </w:rPr>
        <w:t xml:space="preserve"> per jaar in 2015-2017</w:t>
      </w:r>
      <w:r>
        <w:rPr>
          <w:szCs w:val="18"/>
        </w:rPr>
        <w:t xml:space="preserve">) en aan de </w:t>
      </w:r>
      <w:r w:rsidRPr="00AD1DDD">
        <w:rPr>
          <w:i/>
          <w:szCs w:val="18"/>
        </w:rPr>
        <w:t xml:space="preserve">Country </w:t>
      </w:r>
      <w:proofErr w:type="spellStart"/>
      <w:r w:rsidRPr="00AD1DDD">
        <w:rPr>
          <w:i/>
          <w:szCs w:val="18"/>
        </w:rPr>
        <w:t>Based</w:t>
      </w:r>
      <w:proofErr w:type="spellEnd"/>
      <w:r w:rsidRPr="00AD1DDD">
        <w:rPr>
          <w:i/>
          <w:szCs w:val="18"/>
        </w:rPr>
        <w:t xml:space="preserve"> </w:t>
      </w:r>
      <w:proofErr w:type="spellStart"/>
      <w:r w:rsidRPr="00AD1DDD">
        <w:rPr>
          <w:i/>
          <w:szCs w:val="18"/>
        </w:rPr>
        <w:t>Pooled</w:t>
      </w:r>
      <w:proofErr w:type="spellEnd"/>
      <w:r w:rsidRPr="00AD1DDD">
        <w:rPr>
          <w:i/>
          <w:szCs w:val="18"/>
        </w:rPr>
        <w:t xml:space="preserve"> Funds</w:t>
      </w:r>
      <w:r>
        <w:rPr>
          <w:szCs w:val="18"/>
        </w:rPr>
        <w:t>.</w:t>
      </w:r>
    </w:p>
    <w:p w14:paraId="3D10B485" w14:textId="77777777" w:rsidR="005321F1" w:rsidRPr="004D372F" w:rsidRDefault="005321F1" w:rsidP="00BE458E"/>
    <w:p w14:paraId="3D10B486" w14:textId="5DCC7C4A" w:rsidR="005150FC" w:rsidRDefault="00BE458E" w:rsidP="005150FC">
      <w:r>
        <w:t xml:space="preserve">Financieel Overzicht </w:t>
      </w:r>
      <w:r w:rsidR="005150FC">
        <w:t>(bedragen in USD miljoen)</w:t>
      </w:r>
    </w:p>
    <w:p w14:paraId="08C91E38" w14:textId="77777777" w:rsidR="003B3E90" w:rsidRDefault="003B3E90"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85"/>
        <w:gridCol w:w="1515"/>
        <w:gridCol w:w="1232"/>
        <w:gridCol w:w="1745"/>
        <w:gridCol w:w="1139"/>
        <w:gridCol w:w="1281"/>
      </w:tblGrid>
      <w:tr w:rsidR="005150FC" w14:paraId="3D10B48A" w14:textId="77777777" w:rsidTr="00D43AB0">
        <w:tc>
          <w:tcPr>
            <w:tcW w:w="548" w:type="pct"/>
            <w:tcBorders>
              <w:top w:val="single" w:sz="12" w:space="0" w:color="auto"/>
              <w:bottom w:val="single" w:sz="6" w:space="0" w:color="auto"/>
            </w:tcBorders>
            <w:shd w:val="clear" w:color="auto" w:fill="D9D9D9" w:themeFill="background1" w:themeFillShade="D9"/>
          </w:tcPr>
          <w:p w14:paraId="3D10B487" w14:textId="77777777" w:rsidR="005150FC" w:rsidRDefault="005150FC" w:rsidP="005150FC"/>
        </w:tc>
        <w:tc>
          <w:tcPr>
            <w:tcW w:w="3622" w:type="pct"/>
            <w:gridSpan w:val="4"/>
            <w:tcBorders>
              <w:top w:val="single" w:sz="12" w:space="0" w:color="auto"/>
              <w:bottom w:val="single" w:sz="6" w:space="0" w:color="auto"/>
            </w:tcBorders>
            <w:shd w:val="clear" w:color="auto" w:fill="D9D9D9" w:themeFill="background1" w:themeFillShade="D9"/>
            <w:hideMark/>
          </w:tcPr>
          <w:p w14:paraId="3D10B488" w14:textId="77777777" w:rsidR="005150FC" w:rsidRDefault="005150FC" w:rsidP="005150FC">
            <w:pPr>
              <w:jc w:val="center"/>
              <w:rPr>
                <w:b/>
              </w:rPr>
            </w:pPr>
            <w:r>
              <w:rPr>
                <w:b/>
              </w:rPr>
              <w:t>Inkomsten</w:t>
            </w:r>
          </w:p>
        </w:tc>
        <w:tc>
          <w:tcPr>
            <w:tcW w:w="830" w:type="pct"/>
            <w:tcBorders>
              <w:top w:val="single" w:sz="12" w:space="0" w:color="auto"/>
              <w:bottom w:val="single" w:sz="6" w:space="0" w:color="auto"/>
            </w:tcBorders>
            <w:shd w:val="clear" w:color="auto" w:fill="D9D9D9" w:themeFill="background1" w:themeFillShade="D9"/>
            <w:hideMark/>
          </w:tcPr>
          <w:p w14:paraId="3D10B489" w14:textId="77777777" w:rsidR="005150FC" w:rsidRDefault="005150FC" w:rsidP="005150FC">
            <w:pPr>
              <w:jc w:val="right"/>
              <w:rPr>
                <w:b/>
              </w:rPr>
            </w:pPr>
            <w:r>
              <w:rPr>
                <w:b/>
              </w:rPr>
              <w:t>Uitgaven</w:t>
            </w:r>
          </w:p>
        </w:tc>
      </w:tr>
      <w:tr w:rsidR="005150FC" w14:paraId="3D10B490" w14:textId="77777777" w:rsidTr="00D43AB0">
        <w:tc>
          <w:tcPr>
            <w:tcW w:w="548" w:type="pct"/>
            <w:tcBorders>
              <w:top w:val="single" w:sz="6" w:space="0" w:color="auto"/>
              <w:bottom w:val="single" w:sz="12" w:space="0" w:color="auto"/>
            </w:tcBorders>
            <w:shd w:val="clear" w:color="auto" w:fill="D9D9D9" w:themeFill="background1" w:themeFillShade="D9"/>
            <w:hideMark/>
          </w:tcPr>
          <w:p w14:paraId="3D10B48B" w14:textId="77777777" w:rsidR="005150FC" w:rsidRDefault="0059680A" w:rsidP="005150FC">
            <w:pPr>
              <w:rPr>
                <w:i/>
              </w:rPr>
            </w:pPr>
            <w:r>
              <w:rPr>
                <w:i/>
              </w:rPr>
              <w:t>Jaar</w:t>
            </w:r>
          </w:p>
        </w:tc>
        <w:tc>
          <w:tcPr>
            <w:tcW w:w="1022" w:type="pct"/>
            <w:tcBorders>
              <w:top w:val="single" w:sz="6" w:space="0" w:color="auto"/>
              <w:bottom w:val="single" w:sz="12" w:space="0" w:color="auto"/>
            </w:tcBorders>
            <w:shd w:val="clear" w:color="auto" w:fill="D9D9D9" w:themeFill="background1" w:themeFillShade="D9"/>
            <w:hideMark/>
          </w:tcPr>
          <w:p w14:paraId="3D10B48C" w14:textId="77777777" w:rsidR="005150FC" w:rsidRDefault="00350045" w:rsidP="005150FC">
            <w:pPr>
              <w:rPr>
                <w:i/>
              </w:rPr>
            </w:pPr>
            <w:r>
              <w:rPr>
                <w:i/>
              </w:rPr>
              <w:t xml:space="preserve">Uit </w:t>
            </w:r>
            <w:r w:rsidR="004823D2">
              <w:rPr>
                <w:i/>
              </w:rPr>
              <w:t>v</w:t>
            </w:r>
            <w:r w:rsidR="005150FC">
              <w:rPr>
                <w:i/>
              </w:rPr>
              <w:t>erplichte</w:t>
            </w:r>
          </w:p>
        </w:tc>
        <w:tc>
          <w:tcPr>
            <w:tcW w:w="2009" w:type="pct"/>
            <w:gridSpan w:val="2"/>
            <w:tcBorders>
              <w:top w:val="single" w:sz="6" w:space="0" w:color="auto"/>
              <w:bottom w:val="single" w:sz="12" w:space="0" w:color="auto"/>
            </w:tcBorders>
            <w:shd w:val="clear" w:color="auto" w:fill="D9D9D9" w:themeFill="background1" w:themeFillShade="D9"/>
            <w:hideMark/>
          </w:tcPr>
          <w:p w14:paraId="3D10B48D" w14:textId="77777777" w:rsidR="005150FC" w:rsidRDefault="005150FC" w:rsidP="005150FC">
            <w:pPr>
              <w:jc w:val="center"/>
              <w:rPr>
                <w:i/>
              </w:rPr>
            </w:pPr>
            <w:r>
              <w:rPr>
                <w:i/>
              </w:rPr>
              <w:t>Vrijwillige bijdragen</w:t>
            </w:r>
          </w:p>
        </w:tc>
        <w:tc>
          <w:tcPr>
            <w:tcW w:w="591" w:type="pct"/>
            <w:tcBorders>
              <w:top w:val="single" w:sz="6" w:space="0" w:color="auto"/>
              <w:bottom w:val="single" w:sz="12" w:space="0" w:color="auto"/>
            </w:tcBorders>
            <w:shd w:val="clear" w:color="auto" w:fill="D9D9D9" w:themeFill="background1" w:themeFillShade="D9"/>
            <w:hideMark/>
          </w:tcPr>
          <w:p w14:paraId="3D10B48E" w14:textId="77777777" w:rsidR="005150FC" w:rsidRDefault="005150FC" w:rsidP="005150FC">
            <w:pPr>
              <w:jc w:val="right"/>
              <w:rPr>
                <w:i/>
              </w:rPr>
            </w:pPr>
            <w:r>
              <w:rPr>
                <w:i/>
              </w:rPr>
              <w:t>Totaal</w:t>
            </w:r>
          </w:p>
        </w:tc>
        <w:tc>
          <w:tcPr>
            <w:tcW w:w="830" w:type="pct"/>
            <w:tcBorders>
              <w:top w:val="single" w:sz="6" w:space="0" w:color="auto"/>
              <w:bottom w:val="single" w:sz="12" w:space="0" w:color="auto"/>
            </w:tcBorders>
            <w:shd w:val="clear" w:color="auto" w:fill="D9D9D9" w:themeFill="background1" w:themeFillShade="D9"/>
            <w:hideMark/>
          </w:tcPr>
          <w:p w14:paraId="3D10B48F" w14:textId="77777777" w:rsidR="005150FC" w:rsidRDefault="005150FC" w:rsidP="005150FC">
            <w:pPr>
              <w:jc w:val="right"/>
              <w:rPr>
                <w:i/>
              </w:rPr>
            </w:pPr>
            <w:r>
              <w:rPr>
                <w:i/>
              </w:rPr>
              <w:t>Totaal</w:t>
            </w:r>
          </w:p>
        </w:tc>
      </w:tr>
      <w:tr w:rsidR="005150FC" w14:paraId="3D10B497" w14:textId="77777777" w:rsidTr="00D43AB0">
        <w:tc>
          <w:tcPr>
            <w:tcW w:w="548" w:type="pct"/>
            <w:tcBorders>
              <w:top w:val="single" w:sz="12" w:space="0" w:color="auto"/>
            </w:tcBorders>
            <w:hideMark/>
          </w:tcPr>
          <w:p w14:paraId="3D10B491" w14:textId="77777777" w:rsidR="005150FC" w:rsidRDefault="005150FC" w:rsidP="005150FC">
            <w:pPr>
              <w:rPr>
                <w:i/>
              </w:rPr>
            </w:pPr>
          </w:p>
        </w:tc>
        <w:tc>
          <w:tcPr>
            <w:tcW w:w="1022" w:type="pct"/>
            <w:tcBorders>
              <w:top w:val="single" w:sz="12" w:space="0" w:color="auto"/>
            </w:tcBorders>
            <w:hideMark/>
          </w:tcPr>
          <w:p w14:paraId="3D10B492" w14:textId="77777777" w:rsidR="005150FC" w:rsidRDefault="005150FC" w:rsidP="005150FC">
            <w:pPr>
              <w:rPr>
                <w:i/>
              </w:rPr>
            </w:pPr>
            <w:r>
              <w:rPr>
                <w:i/>
              </w:rPr>
              <w:t>bijdragen</w:t>
            </w:r>
          </w:p>
        </w:tc>
        <w:tc>
          <w:tcPr>
            <w:tcW w:w="838" w:type="pct"/>
            <w:tcBorders>
              <w:top w:val="single" w:sz="12" w:space="0" w:color="auto"/>
            </w:tcBorders>
            <w:hideMark/>
          </w:tcPr>
          <w:p w14:paraId="3D10B493" w14:textId="5B38D77A" w:rsidR="005150FC" w:rsidRDefault="00633895" w:rsidP="005150FC">
            <w:pPr>
              <w:rPr>
                <w:i/>
              </w:rPr>
            </w:pPr>
            <w:r>
              <w:rPr>
                <w:i/>
              </w:rPr>
              <w:t>Non-</w:t>
            </w:r>
            <w:proofErr w:type="spellStart"/>
            <w:r>
              <w:rPr>
                <w:i/>
              </w:rPr>
              <w:t>core</w:t>
            </w:r>
            <w:proofErr w:type="spellEnd"/>
          </w:p>
        </w:tc>
        <w:tc>
          <w:tcPr>
            <w:tcW w:w="1171" w:type="pct"/>
            <w:tcBorders>
              <w:top w:val="single" w:sz="12" w:space="0" w:color="auto"/>
            </w:tcBorders>
            <w:hideMark/>
          </w:tcPr>
          <w:p w14:paraId="3D10B494" w14:textId="58FA4EF9" w:rsidR="005150FC" w:rsidRDefault="00633895" w:rsidP="005150FC">
            <w:pPr>
              <w:rPr>
                <w:i/>
              </w:rPr>
            </w:pPr>
            <w:proofErr w:type="spellStart"/>
            <w:r>
              <w:rPr>
                <w:i/>
              </w:rPr>
              <w:t>Core</w:t>
            </w:r>
            <w:proofErr w:type="spellEnd"/>
          </w:p>
        </w:tc>
        <w:tc>
          <w:tcPr>
            <w:tcW w:w="591" w:type="pct"/>
            <w:tcBorders>
              <w:top w:val="single" w:sz="12" w:space="0" w:color="auto"/>
            </w:tcBorders>
          </w:tcPr>
          <w:p w14:paraId="3D10B495" w14:textId="77777777" w:rsidR="005150FC" w:rsidRDefault="005150FC" w:rsidP="005150FC">
            <w:pPr>
              <w:rPr>
                <w:i/>
              </w:rPr>
            </w:pPr>
          </w:p>
        </w:tc>
        <w:tc>
          <w:tcPr>
            <w:tcW w:w="830" w:type="pct"/>
            <w:tcBorders>
              <w:top w:val="single" w:sz="12" w:space="0" w:color="auto"/>
            </w:tcBorders>
          </w:tcPr>
          <w:p w14:paraId="3D10B496" w14:textId="77777777" w:rsidR="005150FC" w:rsidRDefault="005150FC" w:rsidP="005150FC">
            <w:pPr>
              <w:rPr>
                <w:i/>
              </w:rPr>
            </w:pPr>
          </w:p>
        </w:tc>
      </w:tr>
      <w:tr w:rsidR="005150FC" w14:paraId="3D10B49E" w14:textId="77777777" w:rsidTr="00D43AB0">
        <w:tc>
          <w:tcPr>
            <w:tcW w:w="548" w:type="pct"/>
            <w:hideMark/>
          </w:tcPr>
          <w:p w14:paraId="3D10B498" w14:textId="77777777" w:rsidR="005150FC" w:rsidRDefault="003A1E73" w:rsidP="005150FC">
            <w:r>
              <w:t>201</w:t>
            </w:r>
            <w:r w:rsidR="00D85213">
              <w:t>4</w:t>
            </w:r>
          </w:p>
        </w:tc>
        <w:tc>
          <w:tcPr>
            <w:tcW w:w="1022" w:type="pct"/>
          </w:tcPr>
          <w:p w14:paraId="3D10B499" w14:textId="77777777" w:rsidR="005150FC" w:rsidRPr="003A4B33" w:rsidRDefault="0059618F" w:rsidP="005150FC">
            <w:pPr>
              <w:tabs>
                <w:tab w:val="decimal" w:pos="674"/>
              </w:tabs>
            </w:pPr>
            <w:r w:rsidRPr="003A4B33">
              <w:t>15,8</w:t>
            </w:r>
          </w:p>
        </w:tc>
        <w:tc>
          <w:tcPr>
            <w:tcW w:w="838" w:type="pct"/>
          </w:tcPr>
          <w:p w14:paraId="3D10B49A" w14:textId="77777777" w:rsidR="005150FC" w:rsidRPr="003A4B33" w:rsidRDefault="00C21FB0" w:rsidP="00A932DA">
            <w:pPr>
              <w:tabs>
                <w:tab w:val="decimal" w:pos="780"/>
              </w:tabs>
              <w:jc w:val="center"/>
            </w:pPr>
            <w:r w:rsidRPr="003A4B33">
              <w:t>128,3</w:t>
            </w:r>
          </w:p>
        </w:tc>
        <w:tc>
          <w:tcPr>
            <w:tcW w:w="1171" w:type="pct"/>
          </w:tcPr>
          <w:p w14:paraId="3D10B49B" w14:textId="77777777" w:rsidR="005150FC" w:rsidRPr="003A4B33" w:rsidRDefault="00C21FB0" w:rsidP="00A932DA">
            <w:pPr>
              <w:tabs>
                <w:tab w:val="decimal" w:pos="887"/>
              </w:tabs>
            </w:pPr>
            <w:r w:rsidRPr="003A4B33">
              <w:t>109,3</w:t>
            </w:r>
          </w:p>
        </w:tc>
        <w:tc>
          <w:tcPr>
            <w:tcW w:w="591" w:type="pct"/>
          </w:tcPr>
          <w:p w14:paraId="3D10B49C" w14:textId="77777777" w:rsidR="005150FC" w:rsidRPr="003A4B33" w:rsidRDefault="00A932DA" w:rsidP="00A932DA">
            <w:pPr>
              <w:tabs>
                <w:tab w:val="decimal" w:pos="743"/>
              </w:tabs>
              <w:jc w:val="center"/>
            </w:pPr>
            <w:r w:rsidRPr="003A4B33">
              <w:t>2</w:t>
            </w:r>
            <w:r w:rsidR="003A4B33" w:rsidRPr="003A4B33">
              <w:t>53,3</w:t>
            </w:r>
          </w:p>
        </w:tc>
        <w:tc>
          <w:tcPr>
            <w:tcW w:w="830" w:type="pct"/>
          </w:tcPr>
          <w:p w14:paraId="3D10B49D" w14:textId="77777777" w:rsidR="005150FC" w:rsidRPr="003A4B33" w:rsidRDefault="004811AB" w:rsidP="005150FC">
            <w:pPr>
              <w:tabs>
                <w:tab w:val="decimal" w:pos="885"/>
              </w:tabs>
            </w:pPr>
            <w:r w:rsidRPr="003A4B33">
              <w:t>274</w:t>
            </w:r>
          </w:p>
        </w:tc>
      </w:tr>
      <w:tr w:rsidR="005150FC" w14:paraId="3D10B4A5" w14:textId="77777777" w:rsidTr="00D43AB0">
        <w:tc>
          <w:tcPr>
            <w:tcW w:w="548" w:type="pct"/>
            <w:hideMark/>
          </w:tcPr>
          <w:p w14:paraId="3D10B49F" w14:textId="77777777" w:rsidR="005150FC" w:rsidRDefault="003A1E73" w:rsidP="005150FC">
            <w:r>
              <w:t>201</w:t>
            </w:r>
            <w:r w:rsidR="00D85213">
              <w:t>5</w:t>
            </w:r>
          </w:p>
        </w:tc>
        <w:tc>
          <w:tcPr>
            <w:tcW w:w="1022" w:type="pct"/>
          </w:tcPr>
          <w:p w14:paraId="3D10B4A0" w14:textId="77777777" w:rsidR="005150FC" w:rsidRPr="003A4B33" w:rsidRDefault="00823E74" w:rsidP="005150FC">
            <w:pPr>
              <w:tabs>
                <w:tab w:val="decimal" w:pos="674"/>
              </w:tabs>
            </w:pPr>
            <w:r w:rsidRPr="003A4B33">
              <w:t>9,3</w:t>
            </w:r>
          </w:p>
        </w:tc>
        <w:tc>
          <w:tcPr>
            <w:tcW w:w="838" w:type="pct"/>
          </w:tcPr>
          <w:p w14:paraId="3D10B4A1" w14:textId="77777777" w:rsidR="005150FC" w:rsidRPr="003A4B33" w:rsidRDefault="00A932DA" w:rsidP="00A932DA">
            <w:pPr>
              <w:tabs>
                <w:tab w:val="decimal" w:pos="780"/>
              </w:tabs>
              <w:jc w:val="center"/>
            </w:pPr>
            <w:r w:rsidRPr="003A4B33">
              <w:t>13</w:t>
            </w:r>
            <w:r w:rsidR="00823E74" w:rsidRPr="003A4B33">
              <w:t>1,6</w:t>
            </w:r>
          </w:p>
        </w:tc>
        <w:tc>
          <w:tcPr>
            <w:tcW w:w="1171" w:type="pct"/>
          </w:tcPr>
          <w:p w14:paraId="3D10B4A2" w14:textId="77777777" w:rsidR="005150FC" w:rsidRPr="003A4B33" w:rsidRDefault="00823E74" w:rsidP="00A932DA">
            <w:pPr>
              <w:tabs>
                <w:tab w:val="decimal" w:pos="887"/>
              </w:tabs>
            </w:pPr>
            <w:r w:rsidRPr="003A4B33">
              <w:t>101,8</w:t>
            </w:r>
          </w:p>
        </w:tc>
        <w:tc>
          <w:tcPr>
            <w:tcW w:w="591" w:type="pct"/>
          </w:tcPr>
          <w:p w14:paraId="3D10B4A3" w14:textId="77777777" w:rsidR="005150FC" w:rsidRPr="003A4B33" w:rsidRDefault="00A932DA" w:rsidP="00A932DA">
            <w:pPr>
              <w:tabs>
                <w:tab w:val="decimal" w:pos="743"/>
              </w:tabs>
            </w:pPr>
            <w:r w:rsidRPr="003A4B33">
              <w:t>2</w:t>
            </w:r>
            <w:r w:rsidR="003A4B33" w:rsidRPr="003A4B33">
              <w:t>42,7</w:t>
            </w:r>
          </w:p>
        </w:tc>
        <w:tc>
          <w:tcPr>
            <w:tcW w:w="830" w:type="pct"/>
          </w:tcPr>
          <w:p w14:paraId="3D10B4A4" w14:textId="77777777" w:rsidR="005150FC" w:rsidRPr="003A4B33" w:rsidRDefault="00823E74" w:rsidP="005150FC">
            <w:pPr>
              <w:tabs>
                <w:tab w:val="decimal" w:pos="885"/>
              </w:tabs>
            </w:pPr>
            <w:r w:rsidRPr="003A4B33">
              <w:t>319,2</w:t>
            </w:r>
          </w:p>
        </w:tc>
      </w:tr>
      <w:tr w:rsidR="005150FC" w14:paraId="3D10B4AC" w14:textId="77777777" w:rsidTr="00D43AB0">
        <w:tc>
          <w:tcPr>
            <w:tcW w:w="548" w:type="pct"/>
            <w:shd w:val="clear" w:color="auto" w:fill="auto"/>
          </w:tcPr>
          <w:p w14:paraId="3D10B4A6" w14:textId="77777777" w:rsidR="005150FC" w:rsidRDefault="003A1E73" w:rsidP="005150FC">
            <w:r>
              <w:t>201</w:t>
            </w:r>
            <w:r w:rsidR="00D85213">
              <w:t>6</w:t>
            </w:r>
          </w:p>
        </w:tc>
        <w:tc>
          <w:tcPr>
            <w:tcW w:w="1022" w:type="pct"/>
            <w:shd w:val="clear" w:color="auto" w:fill="auto"/>
          </w:tcPr>
          <w:p w14:paraId="3D10B4A7" w14:textId="77777777" w:rsidR="005150FC" w:rsidRPr="00051878" w:rsidRDefault="00250D3B" w:rsidP="00051878">
            <w:proofErr w:type="spellStart"/>
            <w:r w:rsidRPr="00051878">
              <w:t>n.n.b</w:t>
            </w:r>
            <w:proofErr w:type="spellEnd"/>
            <w:r w:rsidRPr="00051878">
              <w:t>.</w:t>
            </w:r>
            <w:r w:rsidR="00051878" w:rsidRPr="00051878">
              <w:t>(</w:t>
            </w:r>
            <w:r w:rsidR="004811AB" w:rsidRPr="00051878">
              <w:t>4</w:t>
            </w:r>
            <w:r w:rsidR="0059618F" w:rsidRPr="00051878">
              <w:t>%</w:t>
            </w:r>
            <w:r w:rsidR="00051878" w:rsidRPr="00051878">
              <w:t>)</w:t>
            </w:r>
            <w:r w:rsidR="00615FA4" w:rsidRPr="00051878">
              <w:t xml:space="preserve"> </w:t>
            </w:r>
          </w:p>
        </w:tc>
        <w:tc>
          <w:tcPr>
            <w:tcW w:w="838" w:type="pct"/>
            <w:shd w:val="clear" w:color="auto" w:fill="auto"/>
          </w:tcPr>
          <w:p w14:paraId="3D10B4A8" w14:textId="77777777" w:rsidR="005150FC" w:rsidRDefault="00A932DA" w:rsidP="00A932DA">
            <w:pPr>
              <w:tabs>
                <w:tab w:val="decimal" w:pos="780"/>
              </w:tabs>
              <w:jc w:val="center"/>
            </w:pPr>
            <w:r>
              <w:t>160,2</w:t>
            </w:r>
          </w:p>
        </w:tc>
        <w:tc>
          <w:tcPr>
            <w:tcW w:w="1171" w:type="pct"/>
            <w:shd w:val="clear" w:color="auto" w:fill="auto"/>
          </w:tcPr>
          <w:p w14:paraId="3D10B4A9" w14:textId="77777777" w:rsidR="005150FC" w:rsidRDefault="00A932DA" w:rsidP="00A932DA">
            <w:pPr>
              <w:jc w:val="center"/>
            </w:pPr>
            <w:r>
              <w:t>102,4</w:t>
            </w:r>
          </w:p>
        </w:tc>
        <w:tc>
          <w:tcPr>
            <w:tcW w:w="591" w:type="pct"/>
            <w:shd w:val="clear" w:color="auto" w:fill="auto"/>
          </w:tcPr>
          <w:p w14:paraId="3D10B4AA" w14:textId="77777777" w:rsidR="005150FC" w:rsidRDefault="00051878" w:rsidP="00A932DA">
            <w:pPr>
              <w:jc w:val="center"/>
            </w:pPr>
            <w:proofErr w:type="spellStart"/>
            <w:r>
              <w:t>n.n.b</w:t>
            </w:r>
            <w:proofErr w:type="spellEnd"/>
            <w:r>
              <w:t>.</w:t>
            </w:r>
          </w:p>
        </w:tc>
        <w:tc>
          <w:tcPr>
            <w:tcW w:w="830" w:type="pct"/>
            <w:shd w:val="clear" w:color="auto" w:fill="auto"/>
          </w:tcPr>
          <w:p w14:paraId="3D10B4AB" w14:textId="77777777" w:rsidR="005150FC" w:rsidRDefault="00051878" w:rsidP="005150FC">
            <w:pPr>
              <w:tabs>
                <w:tab w:val="decimal" w:pos="885"/>
              </w:tabs>
            </w:pPr>
            <w:proofErr w:type="spellStart"/>
            <w:r>
              <w:t>n.n.b</w:t>
            </w:r>
            <w:proofErr w:type="spellEnd"/>
            <w:r>
              <w:t>.</w:t>
            </w:r>
          </w:p>
        </w:tc>
      </w:tr>
    </w:tbl>
    <w:p w14:paraId="43AD41ED" w14:textId="77777777" w:rsidR="00E71DCC" w:rsidRDefault="00E71DCC" w:rsidP="00B95FC2"/>
    <w:p w14:paraId="3D10B4AE" w14:textId="77777777" w:rsidR="005150FC" w:rsidRDefault="005150FC" w:rsidP="005150FC"/>
    <w:p w14:paraId="6019F177" w14:textId="77777777" w:rsidR="00145A7D" w:rsidRDefault="00145A7D">
      <w:pPr>
        <w:spacing w:line="240" w:lineRule="auto"/>
      </w:pPr>
      <w:r>
        <w:br w:type="page"/>
      </w:r>
    </w:p>
    <w:p w14:paraId="3D10B4AF" w14:textId="4329C184" w:rsidR="005150FC" w:rsidRDefault="005150FC" w:rsidP="005150FC">
      <w:r w:rsidRPr="004D372F">
        <w:lastRenderedPageBreak/>
        <w:t>Overzicht bijdragen en ranking grootste donoren</w:t>
      </w:r>
      <w:r w:rsidR="00445115">
        <w:t xml:space="preserve"> </w:t>
      </w:r>
      <w:r>
        <w:t>(bedragen in USD miljoen)</w:t>
      </w:r>
    </w:p>
    <w:p w14:paraId="33F1C1F1" w14:textId="77777777" w:rsidR="003B3E90" w:rsidRDefault="003B3E90" w:rsidP="005150FC"/>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84"/>
        <w:gridCol w:w="2009"/>
        <w:gridCol w:w="3014"/>
        <w:gridCol w:w="1990"/>
      </w:tblGrid>
      <w:tr w:rsidR="005150FC" w14:paraId="3D10B4B4" w14:textId="77777777" w:rsidTr="005370D9">
        <w:tc>
          <w:tcPr>
            <w:tcW w:w="444" w:type="pct"/>
            <w:tcBorders>
              <w:top w:val="single" w:sz="12" w:space="0" w:color="auto"/>
              <w:bottom w:val="single" w:sz="12" w:space="0" w:color="auto"/>
            </w:tcBorders>
            <w:shd w:val="clear" w:color="auto" w:fill="D9D9D9" w:themeFill="background1" w:themeFillShade="D9"/>
            <w:hideMark/>
          </w:tcPr>
          <w:p w14:paraId="3D10B4B0" w14:textId="77777777" w:rsidR="005150FC" w:rsidRPr="00A13499" w:rsidRDefault="005150FC" w:rsidP="005150FC">
            <w:pPr>
              <w:rPr>
                <w:b/>
              </w:rPr>
            </w:pPr>
            <w:r w:rsidRPr="00A13499">
              <w:rPr>
                <w:b/>
              </w:rPr>
              <w:t>Jaar</w:t>
            </w:r>
          </w:p>
        </w:tc>
        <w:tc>
          <w:tcPr>
            <w:tcW w:w="1305" w:type="pct"/>
            <w:tcBorders>
              <w:top w:val="single" w:sz="12" w:space="0" w:color="auto"/>
              <w:bottom w:val="single" w:sz="12" w:space="0" w:color="auto"/>
            </w:tcBorders>
            <w:shd w:val="clear" w:color="auto" w:fill="D9D9D9" w:themeFill="background1" w:themeFillShade="D9"/>
            <w:hideMark/>
          </w:tcPr>
          <w:p w14:paraId="3D10B4B1" w14:textId="77777777" w:rsidR="005150FC" w:rsidRPr="00A13499" w:rsidRDefault="005150FC" w:rsidP="005150FC">
            <w:pPr>
              <w:rPr>
                <w:b/>
              </w:rPr>
            </w:pPr>
            <w:r w:rsidRPr="00A13499">
              <w:rPr>
                <w:b/>
              </w:rPr>
              <w:t>Bijdrage</w:t>
            </w:r>
          </w:p>
        </w:tc>
        <w:tc>
          <w:tcPr>
            <w:tcW w:w="1958" w:type="pct"/>
            <w:tcBorders>
              <w:top w:val="single" w:sz="12" w:space="0" w:color="auto"/>
              <w:bottom w:val="single" w:sz="12" w:space="0" w:color="auto"/>
            </w:tcBorders>
            <w:shd w:val="clear" w:color="auto" w:fill="D9D9D9" w:themeFill="background1" w:themeFillShade="D9"/>
            <w:hideMark/>
          </w:tcPr>
          <w:p w14:paraId="3D10B4B2" w14:textId="77777777" w:rsidR="005150FC" w:rsidRPr="00A13499" w:rsidRDefault="005150FC" w:rsidP="005150FC">
            <w:pPr>
              <w:rPr>
                <w:b/>
              </w:rPr>
            </w:pPr>
            <w:r w:rsidRPr="00A13499">
              <w:rPr>
                <w:b/>
              </w:rPr>
              <w:t>Ranking/donor</w:t>
            </w:r>
          </w:p>
        </w:tc>
        <w:tc>
          <w:tcPr>
            <w:tcW w:w="1293" w:type="pct"/>
            <w:tcBorders>
              <w:top w:val="single" w:sz="12" w:space="0" w:color="auto"/>
              <w:bottom w:val="single" w:sz="12" w:space="0" w:color="auto"/>
            </w:tcBorders>
            <w:shd w:val="clear" w:color="auto" w:fill="D9D9D9" w:themeFill="background1" w:themeFillShade="D9"/>
            <w:hideMark/>
          </w:tcPr>
          <w:p w14:paraId="3D10B4B3" w14:textId="77777777" w:rsidR="005150FC" w:rsidRPr="00A13499" w:rsidRDefault="005150FC" w:rsidP="005150FC">
            <w:pPr>
              <w:jc w:val="center"/>
              <w:rPr>
                <w:b/>
              </w:rPr>
            </w:pPr>
            <w:r w:rsidRPr="00A13499">
              <w:rPr>
                <w:b/>
              </w:rPr>
              <w:t>Bedrag</w:t>
            </w:r>
          </w:p>
        </w:tc>
      </w:tr>
      <w:tr w:rsidR="00E71DCC" w14:paraId="3D10B4B9" w14:textId="77777777" w:rsidTr="005370D9">
        <w:tc>
          <w:tcPr>
            <w:tcW w:w="444" w:type="pct"/>
            <w:vMerge w:val="restart"/>
            <w:tcBorders>
              <w:top w:val="single" w:sz="12" w:space="0" w:color="auto"/>
            </w:tcBorders>
            <w:hideMark/>
          </w:tcPr>
          <w:p w14:paraId="3D10B4B5" w14:textId="77777777" w:rsidR="00E71DCC" w:rsidRDefault="00E71DCC" w:rsidP="00E71DCC">
            <w:r>
              <w:t>2014</w:t>
            </w:r>
          </w:p>
        </w:tc>
        <w:tc>
          <w:tcPr>
            <w:tcW w:w="1305" w:type="pct"/>
            <w:vMerge w:val="restart"/>
            <w:tcBorders>
              <w:top w:val="single" w:sz="12" w:space="0" w:color="auto"/>
            </w:tcBorders>
            <w:hideMark/>
          </w:tcPr>
          <w:p w14:paraId="3D10B4B6" w14:textId="77777777" w:rsidR="00E71DCC" w:rsidRDefault="00E71DCC" w:rsidP="00E71DCC">
            <w:proofErr w:type="spellStart"/>
            <w:r w:rsidRPr="00A13499">
              <w:rPr>
                <w:i/>
              </w:rPr>
              <w:t>Core</w:t>
            </w:r>
            <w:proofErr w:type="spellEnd"/>
            <w:r>
              <w:t>-bijdrage</w:t>
            </w:r>
          </w:p>
        </w:tc>
        <w:tc>
          <w:tcPr>
            <w:tcW w:w="1958" w:type="pct"/>
            <w:tcBorders>
              <w:top w:val="single" w:sz="12" w:space="0" w:color="auto"/>
            </w:tcBorders>
            <w:hideMark/>
          </w:tcPr>
          <w:p w14:paraId="3D10B4B7" w14:textId="3B68FE76" w:rsidR="00E71DCC" w:rsidRDefault="00E71DCC" w:rsidP="00E71DCC">
            <w:r>
              <w:t>1. Verenigd Koninkrijk</w:t>
            </w:r>
          </w:p>
        </w:tc>
        <w:tc>
          <w:tcPr>
            <w:tcW w:w="1293" w:type="pct"/>
            <w:tcBorders>
              <w:top w:val="single" w:sz="12" w:space="0" w:color="auto"/>
            </w:tcBorders>
          </w:tcPr>
          <w:p w14:paraId="3D10B4B8" w14:textId="28EBE159" w:rsidR="00E71DCC" w:rsidRDefault="00E71DCC" w:rsidP="00E71DCC">
            <w:pPr>
              <w:tabs>
                <w:tab w:val="decimal" w:pos="1026"/>
              </w:tabs>
            </w:pPr>
            <w:r>
              <w:t>31,4</w:t>
            </w:r>
          </w:p>
        </w:tc>
      </w:tr>
      <w:tr w:rsidR="00E71DCC" w14:paraId="3D10B4BE" w14:textId="77777777" w:rsidTr="005370D9">
        <w:tc>
          <w:tcPr>
            <w:tcW w:w="444" w:type="pct"/>
            <w:vMerge/>
          </w:tcPr>
          <w:p w14:paraId="3D10B4BA" w14:textId="77777777" w:rsidR="00E71DCC" w:rsidRDefault="00E71DCC" w:rsidP="00E71DCC"/>
        </w:tc>
        <w:tc>
          <w:tcPr>
            <w:tcW w:w="1305" w:type="pct"/>
            <w:vMerge/>
          </w:tcPr>
          <w:p w14:paraId="3D10B4BB" w14:textId="77777777" w:rsidR="00E71DCC" w:rsidRDefault="00E71DCC" w:rsidP="00E71DCC"/>
        </w:tc>
        <w:tc>
          <w:tcPr>
            <w:tcW w:w="1958" w:type="pct"/>
            <w:hideMark/>
          </w:tcPr>
          <w:p w14:paraId="3D10B4BC" w14:textId="7BAE66A9" w:rsidR="00E71DCC" w:rsidRDefault="00E71DCC" w:rsidP="00E71DCC">
            <w:r>
              <w:t>2. Zweden</w:t>
            </w:r>
          </w:p>
        </w:tc>
        <w:tc>
          <w:tcPr>
            <w:tcW w:w="1293" w:type="pct"/>
          </w:tcPr>
          <w:p w14:paraId="3D10B4BD" w14:textId="2175671F" w:rsidR="00E71DCC" w:rsidRDefault="00E71DCC" w:rsidP="00E71DCC">
            <w:pPr>
              <w:tabs>
                <w:tab w:val="decimal" w:pos="1026"/>
              </w:tabs>
            </w:pPr>
            <w:r>
              <w:t>16,4</w:t>
            </w:r>
          </w:p>
        </w:tc>
      </w:tr>
      <w:tr w:rsidR="00E71DCC" w14:paraId="3D10B4C3" w14:textId="77777777" w:rsidTr="005370D9">
        <w:tc>
          <w:tcPr>
            <w:tcW w:w="444" w:type="pct"/>
            <w:vMerge/>
          </w:tcPr>
          <w:p w14:paraId="3D10B4BF" w14:textId="77777777" w:rsidR="00E71DCC" w:rsidRDefault="00E71DCC" w:rsidP="00E71DCC"/>
        </w:tc>
        <w:tc>
          <w:tcPr>
            <w:tcW w:w="1305" w:type="pct"/>
            <w:vMerge/>
          </w:tcPr>
          <w:p w14:paraId="3D10B4C0" w14:textId="77777777" w:rsidR="00E71DCC" w:rsidRDefault="00E71DCC" w:rsidP="00E71DCC"/>
        </w:tc>
        <w:tc>
          <w:tcPr>
            <w:tcW w:w="1958" w:type="pct"/>
            <w:hideMark/>
          </w:tcPr>
          <w:p w14:paraId="3D10B4C1" w14:textId="51EF569A" w:rsidR="00E71DCC" w:rsidRDefault="00E71DCC" w:rsidP="00E71DCC">
            <w:r>
              <w:t>3. Noorwegen</w:t>
            </w:r>
          </w:p>
        </w:tc>
        <w:tc>
          <w:tcPr>
            <w:tcW w:w="1293" w:type="pct"/>
          </w:tcPr>
          <w:p w14:paraId="3D10B4C2" w14:textId="0091AFE2" w:rsidR="00E71DCC" w:rsidRDefault="00E71DCC" w:rsidP="00E71DCC">
            <w:pPr>
              <w:tabs>
                <w:tab w:val="decimal" w:pos="1026"/>
              </w:tabs>
            </w:pPr>
            <w:r>
              <w:t>11,7</w:t>
            </w:r>
          </w:p>
        </w:tc>
      </w:tr>
      <w:tr w:rsidR="00E71DCC" w14:paraId="52BEA952" w14:textId="77777777" w:rsidTr="005370D9">
        <w:tc>
          <w:tcPr>
            <w:tcW w:w="444" w:type="pct"/>
            <w:vMerge/>
          </w:tcPr>
          <w:p w14:paraId="7ADEC4FC" w14:textId="77777777" w:rsidR="00E71DCC" w:rsidRDefault="00E71DCC" w:rsidP="00E71DCC"/>
        </w:tc>
        <w:tc>
          <w:tcPr>
            <w:tcW w:w="1305" w:type="pct"/>
            <w:vMerge/>
          </w:tcPr>
          <w:p w14:paraId="4F37E730" w14:textId="77777777" w:rsidR="00E71DCC" w:rsidRDefault="00E71DCC" w:rsidP="00E71DCC"/>
        </w:tc>
        <w:tc>
          <w:tcPr>
            <w:tcW w:w="1958" w:type="pct"/>
          </w:tcPr>
          <w:p w14:paraId="2EAD0F27" w14:textId="73A53068" w:rsidR="00E71DCC" w:rsidRPr="00046F4E" w:rsidRDefault="00E71DCC" w:rsidP="00E71DCC">
            <w:pPr>
              <w:rPr>
                <w:b/>
              </w:rPr>
            </w:pPr>
            <w:r w:rsidRPr="00046F4E">
              <w:rPr>
                <w:b/>
              </w:rPr>
              <w:t>5. Nederland</w:t>
            </w:r>
          </w:p>
        </w:tc>
        <w:tc>
          <w:tcPr>
            <w:tcW w:w="1293" w:type="pct"/>
          </w:tcPr>
          <w:p w14:paraId="402B2887" w14:textId="401B113B" w:rsidR="00E71DCC" w:rsidRPr="00046F4E" w:rsidRDefault="00E71DCC" w:rsidP="00E71DCC">
            <w:pPr>
              <w:tabs>
                <w:tab w:val="decimal" w:pos="1026"/>
              </w:tabs>
              <w:rPr>
                <w:b/>
              </w:rPr>
            </w:pPr>
            <w:r w:rsidRPr="00046F4E">
              <w:rPr>
                <w:b/>
              </w:rPr>
              <w:t>6,5</w:t>
            </w:r>
          </w:p>
        </w:tc>
      </w:tr>
      <w:tr w:rsidR="00E71DCC" w14:paraId="3D10B4C8" w14:textId="77777777" w:rsidTr="005370D9">
        <w:tc>
          <w:tcPr>
            <w:tcW w:w="444" w:type="pct"/>
            <w:vMerge/>
          </w:tcPr>
          <w:p w14:paraId="3D10B4C4" w14:textId="77777777" w:rsidR="00E71DCC" w:rsidRDefault="00E71DCC" w:rsidP="00E71DCC"/>
        </w:tc>
        <w:tc>
          <w:tcPr>
            <w:tcW w:w="1305" w:type="pct"/>
            <w:vMerge w:val="restart"/>
            <w:hideMark/>
          </w:tcPr>
          <w:p w14:paraId="3D10B4C5" w14:textId="77777777" w:rsidR="00E71DCC" w:rsidRDefault="00E71DCC" w:rsidP="00E71DCC">
            <w:r w:rsidRPr="00A13499">
              <w:rPr>
                <w:i/>
              </w:rPr>
              <w:t>Non-</w:t>
            </w:r>
            <w:proofErr w:type="spellStart"/>
            <w:r w:rsidRPr="00A13499">
              <w:rPr>
                <w:i/>
              </w:rPr>
              <w:t>core</w:t>
            </w:r>
            <w:proofErr w:type="spellEnd"/>
            <w:r>
              <w:t>-bijdragen</w:t>
            </w:r>
          </w:p>
        </w:tc>
        <w:tc>
          <w:tcPr>
            <w:tcW w:w="1958" w:type="pct"/>
            <w:hideMark/>
          </w:tcPr>
          <w:p w14:paraId="3D10B4C6" w14:textId="3C686233" w:rsidR="00E71DCC" w:rsidRDefault="00E71DCC" w:rsidP="00E71DCC">
            <w:r>
              <w:t>1. Verenigde Staten</w:t>
            </w:r>
          </w:p>
        </w:tc>
        <w:tc>
          <w:tcPr>
            <w:tcW w:w="1293" w:type="pct"/>
          </w:tcPr>
          <w:p w14:paraId="3D10B4C7" w14:textId="19CEB178" w:rsidR="00E71DCC" w:rsidRDefault="00E71DCC" w:rsidP="00E71DCC">
            <w:pPr>
              <w:tabs>
                <w:tab w:val="decimal" w:pos="1026"/>
              </w:tabs>
            </w:pPr>
            <w:r>
              <w:t>26,1</w:t>
            </w:r>
          </w:p>
        </w:tc>
      </w:tr>
      <w:tr w:rsidR="00E71DCC" w14:paraId="3D10B4CD" w14:textId="77777777" w:rsidTr="005370D9">
        <w:tc>
          <w:tcPr>
            <w:tcW w:w="444" w:type="pct"/>
            <w:vMerge/>
          </w:tcPr>
          <w:p w14:paraId="3D10B4C9" w14:textId="77777777" w:rsidR="00E71DCC" w:rsidRDefault="00E71DCC" w:rsidP="00E71DCC"/>
        </w:tc>
        <w:tc>
          <w:tcPr>
            <w:tcW w:w="1305" w:type="pct"/>
            <w:vMerge/>
          </w:tcPr>
          <w:p w14:paraId="3D10B4CA" w14:textId="77777777" w:rsidR="00E71DCC" w:rsidRDefault="00E71DCC" w:rsidP="00E71DCC"/>
        </w:tc>
        <w:tc>
          <w:tcPr>
            <w:tcW w:w="1958" w:type="pct"/>
            <w:hideMark/>
          </w:tcPr>
          <w:p w14:paraId="3D10B4CB" w14:textId="6E83EBF1" w:rsidR="00E71DCC" w:rsidRDefault="00E71DCC" w:rsidP="00E71DCC">
            <w:r>
              <w:t>2. Europese Commissie</w:t>
            </w:r>
          </w:p>
        </w:tc>
        <w:tc>
          <w:tcPr>
            <w:tcW w:w="1293" w:type="pct"/>
          </w:tcPr>
          <w:p w14:paraId="3D10B4CC" w14:textId="422E8ECB" w:rsidR="00E71DCC" w:rsidRDefault="00E71DCC" w:rsidP="00E71DCC">
            <w:pPr>
              <w:tabs>
                <w:tab w:val="decimal" w:pos="1026"/>
              </w:tabs>
            </w:pPr>
            <w:r>
              <w:t>24,4</w:t>
            </w:r>
          </w:p>
        </w:tc>
      </w:tr>
      <w:tr w:rsidR="00E71DCC" w14:paraId="3D10B4D2" w14:textId="77777777" w:rsidTr="005370D9">
        <w:tc>
          <w:tcPr>
            <w:tcW w:w="444" w:type="pct"/>
            <w:vMerge/>
          </w:tcPr>
          <w:p w14:paraId="3D10B4CE" w14:textId="77777777" w:rsidR="00E71DCC" w:rsidRDefault="00E71DCC" w:rsidP="00E71DCC"/>
        </w:tc>
        <w:tc>
          <w:tcPr>
            <w:tcW w:w="1305" w:type="pct"/>
            <w:vMerge/>
          </w:tcPr>
          <w:p w14:paraId="3D10B4CF" w14:textId="77777777" w:rsidR="00E71DCC" w:rsidRDefault="00E71DCC" w:rsidP="00E71DCC"/>
        </w:tc>
        <w:tc>
          <w:tcPr>
            <w:tcW w:w="1958" w:type="pct"/>
            <w:hideMark/>
          </w:tcPr>
          <w:p w14:paraId="3D10B4D0" w14:textId="2D4BFD5D" w:rsidR="00E71DCC" w:rsidRDefault="00E71DCC" w:rsidP="00E71DCC">
            <w:r>
              <w:t>3. Zweden</w:t>
            </w:r>
          </w:p>
        </w:tc>
        <w:tc>
          <w:tcPr>
            <w:tcW w:w="1293" w:type="pct"/>
          </w:tcPr>
          <w:p w14:paraId="3D10B4D1" w14:textId="5A176215" w:rsidR="00E71DCC" w:rsidRDefault="00E71DCC" w:rsidP="00E71DCC">
            <w:pPr>
              <w:tabs>
                <w:tab w:val="decimal" w:pos="1026"/>
              </w:tabs>
            </w:pPr>
            <w:r>
              <w:t>15,5</w:t>
            </w:r>
          </w:p>
        </w:tc>
      </w:tr>
      <w:tr w:rsidR="00E71DCC" w14:paraId="2BF26ABD" w14:textId="77777777" w:rsidTr="005370D9">
        <w:trPr>
          <w:trHeight w:val="66"/>
        </w:trPr>
        <w:tc>
          <w:tcPr>
            <w:tcW w:w="444" w:type="pct"/>
            <w:vMerge/>
          </w:tcPr>
          <w:p w14:paraId="4203C0E2" w14:textId="77777777" w:rsidR="00E71DCC" w:rsidRDefault="00E71DCC" w:rsidP="00E71DCC"/>
        </w:tc>
        <w:tc>
          <w:tcPr>
            <w:tcW w:w="1305" w:type="pct"/>
            <w:vMerge/>
          </w:tcPr>
          <w:p w14:paraId="250B838E" w14:textId="77777777" w:rsidR="00E71DCC" w:rsidRDefault="00E71DCC" w:rsidP="00E71DCC"/>
        </w:tc>
        <w:tc>
          <w:tcPr>
            <w:tcW w:w="1958" w:type="pct"/>
          </w:tcPr>
          <w:p w14:paraId="45C2B62D" w14:textId="6E9AF576" w:rsidR="00E71DCC" w:rsidRPr="00046F4E" w:rsidRDefault="00E71DCC" w:rsidP="00E71DCC">
            <w:pPr>
              <w:rPr>
                <w:b/>
              </w:rPr>
            </w:pPr>
            <w:r w:rsidRPr="00046F4E">
              <w:rPr>
                <w:b/>
              </w:rPr>
              <w:t>&gt;30. Nederland</w:t>
            </w:r>
          </w:p>
        </w:tc>
        <w:tc>
          <w:tcPr>
            <w:tcW w:w="1293" w:type="pct"/>
          </w:tcPr>
          <w:p w14:paraId="59D3C326" w14:textId="0902FF05" w:rsidR="00E71DCC" w:rsidRPr="00046F4E" w:rsidRDefault="00E71DCC" w:rsidP="00E71DCC">
            <w:pPr>
              <w:tabs>
                <w:tab w:val="decimal" w:pos="1026"/>
              </w:tabs>
              <w:rPr>
                <w:b/>
              </w:rPr>
            </w:pPr>
            <w:r w:rsidRPr="00046F4E">
              <w:rPr>
                <w:b/>
              </w:rPr>
              <w:t>0</w:t>
            </w:r>
          </w:p>
        </w:tc>
      </w:tr>
      <w:tr w:rsidR="005150FC" w14:paraId="3D10B4D7" w14:textId="77777777" w:rsidTr="005370D9">
        <w:tc>
          <w:tcPr>
            <w:tcW w:w="444" w:type="pct"/>
            <w:vMerge/>
          </w:tcPr>
          <w:p w14:paraId="3D10B4D3" w14:textId="77777777" w:rsidR="005150FC" w:rsidRDefault="005150FC" w:rsidP="005150FC"/>
        </w:tc>
        <w:tc>
          <w:tcPr>
            <w:tcW w:w="1305" w:type="pct"/>
            <w:vMerge w:val="restart"/>
          </w:tcPr>
          <w:p w14:paraId="3D10B4D4" w14:textId="77777777" w:rsidR="005150FC" w:rsidRDefault="00F265B6" w:rsidP="005150FC">
            <w:r>
              <w:t>Totaal bijdrage</w:t>
            </w:r>
          </w:p>
        </w:tc>
        <w:tc>
          <w:tcPr>
            <w:tcW w:w="1958" w:type="pct"/>
            <w:hideMark/>
          </w:tcPr>
          <w:p w14:paraId="3D10B4D5" w14:textId="77777777" w:rsidR="005150FC" w:rsidRDefault="00AD58CF" w:rsidP="00AD58CF">
            <w:r>
              <w:t>1. Verenigd Koninkrijk</w:t>
            </w:r>
          </w:p>
        </w:tc>
        <w:tc>
          <w:tcPr>
            <w:tcW w:w="1293" w:type="pct"/>
          </w:tcPr>
          <w:p w14:paraId="3D10B4D6" w14:textId="77777777" w:rsidR="005150FC" w:rsidRDefault="00F265B6" w:rsidP="005150FC">
            <w:pPr>
              <w:tabs>
                <w:tab w:val="decimal" w:pos="1026"/>
              </w:tabs>
            </w:pPr>
            <w:r>
              <w:t>39,3</w:t>
            </w:r>
          </w:p>
        </w:tc>
      </w:tr>
      <w:tr w:rsidR="00AD58CF" w14:paraId="3D10B4DC" w14:textId="77777777" w:rsidTr="005370D9">
        <w:tc>
          <w:tcPr>
            <w:tcW w:w="444" w:type="pct"/>
            <w:vMerge/>
          </w:tcPr>
          <w:p w14:paraId="3D10B4D8" w14:textId="77777777" w:rsidR="00AD58CF" w:rsidRDefault="00AD58CF" w:rsidP="005150FC"/>
        </w:tc>
        <w:tc>
          <w:tcPr>
            <w:tcW w:w="1305" w:type="pct"/>
            <w:vMerge/>
          </w:tcPr>
          <w:p w14:paraId="3D10B4D9" w14:textId="77777777" w:rsidR="00AD58CF" w:rsidRDefault="00AD58CF" w:rsidP="005150FC"/>
        </w:tc>
        <w:tc>
          <w:tcPr>
            <w:tcW w:w="1958" w:type="pct"/>
          </w:tcPr>
          <w:p w14:paraId="3D10B4DA" w14:textId="77777777" w:rsidR="00AD58CF" w:rsidRDefault="00AD58CF" w:rsidP="00934058">
            <w:r>
              <w:t xml:space="preserve">2. </w:t>
            </w:r>
            <w:r w:rsidR="00F265B6">
              <w:t>Zweden</w:t>
            </w:r>
          </w:p>
        </w:tc>
        <w:tc>
          <w:tcPr>
            <w:tcW w:w="1293" w:type="pct"/>
          </w:tcPr>
          <w:p w14:paraId="3D10B4DB" w14:textId="77777777" w:rsidR="00AD58CF" w:rsidRDefault="00F265B6" w:rsidP="005150FC">
            <w:pPr>
              <w:tabs>
                <w:tab w:val="decimal" w:pos="1026"/>
              </w:tabs>
            </w:pPr>
            <w:r>
              <w:t>31,8</w:t>
            </w:r>
          </w:p>
        </w:tc>
      </w:tr>
      <w:tr w:rsidR="00AD58CF" w14:paraId="3D10B4E1" w14:textId="77777777" w:rsidTr="005370D9">
        <w:tc>
          <w:tcPr>
            <w:tcW w:w="444" w:type="pct"/>
            <w:vMerge/>
          </w:tcPr>
          <w:p w14:paraId="3D10B4DD" w14:textId="77777777" w:rsidR="00AD58CF" w:rsidRDefault="00AD58CF" w:rsidP="005150FC"/>
        </w:tc>
        <w:tc>
          <w:tcPr>
            <w:tcW w:w="1305" w:type="pct"/>
            <w:vMerge/>
          </w:tcPr>
          <w:p w14:paraId="3D10B4DE" w14:textId="77777777" w:rsidR="00AD58CF" w:rsidRDefault="00AD58CF" w:rsidP="005150FC"/>
        </w:tc>
        <w:tc>
          <w:tcPr>
            <w:tcW w:w="1958" w:type="pct"/>
          </w:tcPr>
          <w:p w14:paraId="3D10B4DF" w14:textId="77777777" w:rsidR="00AD58CF" w:rsidRDefault="0003476E" w:rsidP="00934058">
            <w:r>
              <w:t>3. Verenigde Staten</w:t>
            </w:r>
          </w:p>
        </w:tc>
        <w:tc>
          <w:tcPr>
            <w:tcW w:w="1293" w:type="pct"/>
          </w:tcPr>
          <w:p w14:paraId="3D10B4E0" w14:textId="77777777" w:rsidR="00AD58CF" w:rsidRDefault="0003476E" w:rsidP="005150FC">
            <w:pPr>
              <w:tabs>
                <w:tab w:val="decimal" w:pos="1026"/>
              </w:tabs>
            </w:pPr>
            <w:r>
              <w:t>30,1</w:t>
            </w:r>
          </w:p>
        </w:tc>
      </w:tr>
      <w:tr w:rsidR="00F265B6" w14:paraId="3D10B4E6" w14:textId="77777777" w:rsidTr="005370D9">
        <w:tc>
          <w:tcPr>
            <w:tcW w:w="444" w:type="pct"/>
            <w:vMerge/>
          </w:tcPr>
          <w:p w14:paraId="3D10B4E2" w14:textId="77777777" w:rsidR="00F265B6" w:rsidRDefault="00F265B6" w:rsidP="00F265B6"/>
        </w:tc>
        <w:tc>
          <w:tcPr>
            <w:tcW w:w="1305" w:type="pct"/>
            <w:vMerge/>
          </w:tcPr>
          <w:p w14:paraId="3D10B4E3" w14:textId="77777777" w:rsidR="00F265B6" w:rsidRDefault="00F265B6" w:rsidP="00F265B6"/>
        </w:tc>
        <w:tc>
          <w:tcPr>
            <w:tcW w:w="1958" w:type="pct"/>
            <w:hideMark/>
          </w:tcPr>
          <w:p w14:paraId="3D10B4E4" w14:textId="77777777" w:rsidR="00F265B6" w:rsidRPr="00934058" w:rsidRDefault="00F265B6" w:rsidP="00F265B6">
            <w:pPr>
              <w:rPr>
                <w:b/>
              </w:rPr>
            </w:pPr>
            <w:r w:rsidRPr="00934058">
              <w:rPr>
                <w:b/>
              </w:rPr>
              <w:t>10. Nederland</w:t>
            </w:r>
          </w:p>
        </w:tc>
        <w:tc>
          <w:tcPr>
            <w:tcW w:w="1293" w:type="pct"/>
          </w:tcPr>
          <w:p w14:paraId="3D10B4E5" w14:textId="77777777" w:rsidR="00F265B6" w:rsidRDefault="00F265B6" w:rsidP="00F265B6">
            <w:pPr>
              <w:tabs>
                <w:tab w:val="decimal" w:pos="1026"/>
              </w:tabs>
            </w:pPr>
            <w:r w:rsidRPr="00934058">
              <w:rPr>
                <w:b/>
              </w:rPr>
              <w:t>6,5</w:t>
            </w:r>
          </w:p>
        </w:tc>
      </w:tr>
      <w:tr w:rsidR="00194F38" w14:paraId="2150ECE9" w14:textId="77777777" w:rsidTr="00194F38">
        <w:tc>
          <w:tcPr>
            <w:tcW w:w="444" w:type="pct"/>
            <w:shd w:val="clear" w:color="auto" w:fill="D9D9D9" w:themeFill="background1" w:themeFillShade="D9"/>
          </w:tcPr>
          <w:p w14:paraId="48F4B8C4" w14:textId="77777777" w:rsidR="00194F38" w:rsidRDefault="00194F38" w:rsidP="00F265B6"/>
        </w:tc>
        <w:tc>
          <w:tcPr>
            <w:tcW w:w="1305" w:type="pct"/>
            <w:shd w:val="clear" w:color="auto" w:fill="D9D9D9" w:themeFill="background1" w:themeFillShade="D9"/>
          </w:tcPr>
          <w:p w14:paraId="6F6106B3" w14:textId="77777777" w:rsidR="00194F38" w:rsidRDefault="00194F38" w:rsidP="00F265B6"/>
        </w:tc>
        <w:tc>
          <w:tcPr>
            <w:tcW w:w="1958" w:type="pct"/>
            <w:shd w:val="clear" w:color="auto" w:fill="D9D9D9" w:themeFill="background1" w:themeFillShade="D9"/>
          </w:tcPr>
          <w:p w14:paraId="784AF683" w14:textId="77777777" w:rsidR="00194F38" w:rsidRPr="00934058" w:rsidRDefault="00194F38" w:rsidP="00F265B6">
            <w:pPr>
              <w:rPr>
                <w:b/>
              </w:rPr>
            </w:pPr>
          </w:p>
        </w:tc>
        <w:tc>
          <w:tcPr>
            <w:tcW w:w="1293" w:type="pct"/>
            <w:shd w:val="clear" w:color="auto" w:fill="D9D9D9" w:themeFill="background1" w:themeFillShade="D9"/>
          </w:tcPr>
          <w:p w14:paraId="6EDFF899" w14:textId="77777777" w:rsidR="00194F38" w:rsidRPr="00934058" w:rsidRDefault="00194F38" w:rsidP="00F265B6">
            <w:pPr>
              <w:tabs>
                <w:tab w:val="decimal" w:pos="1026"/>
              </w:tabs>
              <w:rPr>
                <w:b/>
              </w:rPr>
            </w:pPr>
          </w:p>
        </w:tc>
      </w:tr>
      <w:tr w:rsidR="00817293" w14:paraId="3D10B4EB" w14:textId="77777777" w:rsidTr="005370D9">
        <w:tc>
          <w:tcPr>
            <w:tcW w:w="444" w:type="pct"/>
            <w:vMerge w:val="restart"/>
            <w:hideMark/>
          </w:tcPr>
          <w:p w14:paraId="3D10B4E7" w14:textId="77777777" w:rsidR="00817293" w:rsidRDefault="00817293" w:rsidP="00817293">
            <w:r>
              <w:t>2015</w:t>
            </w:r>
          </w:p>
        </w:tc>
        <w:tc>
          <w:tcPr>
            <w:tcW w:w="1305" w:type="pct"/>
            <w:vMerge w:val="restart"/>
            <w:hideMark/>
          </w:tcPr>
          <w:p w14:paraId="3D10B4E8" w14:textId="77777777" w:rsidR="00817293" w:rsidRDefault="00817293" w:rsidP="00817293">
            <w:proofErr w:type="spellStart"/>
            <w:r w:rsidRPr="00A13499">
              <w:rPr>
                <w:i/>
              </w:rPr>
              <w:t>Core</w:t>
            </w:r>
            <w:proofErr w:type="spellEnd"/>
            <w:r>
              <w:t>-bijdrage</w:t>
            </w:r>
          </w:p>
        </w:tc>
        <w:tc>
          <w:tcPr>
            <w:tcW w:w="1958" w:type="pct"/>
            <w:hideMark/>
          </w:tcPr>
          <w:p w14:paraId="3D10B4E9" w14:textId="31CCAFA3" w:rsidR="00817293" w:rsidRDefault="00817293" w:rsidP="00817293">
            <w:r>
              <w:t>1. Verenigd Koninkrijk</w:t>
            </w:r>
          </w:p>
        </w:tc>
        <w:tc>
          <w:tcPr>
            <w:tcW w:w="1293" w:type="pct"/>
          </w:tcPr>
          <w:p w14:paraId="3D10B4EA" w14:textId="491A509A" w:rsidR="00817293" w:rsidRDefault="00817293" w:rsidP="00817293">
            <w:pPr>
              <w:tabs>
                <w:tab w:val="decimal" w:pos="1026"/>
              </w:tabs>
            </w:pPr>
            <w:r>
              <w:t>30,5</w:t>
            </w:r>
          </w:p>
        </w:tc>
      </w:tr>
      <w:tr w:rsidR="00817293" w14:paraId="3D10B4F0" w14:textId="77777777" w:rsidTr="005370D9">
        <w:tc>
          <w:tcPr>
            <w:tcW w:w="444" w:type="pct"/>
            <w:vMerge/>
          </w:tcPr>
          <w:p w14:paraId="3D10B4EC" w14:textId="77777777" w:rsidR="00817293" w:rsidRDefault="00817293" w:rsidP="00817293"/>
        </w:tc>
        <w:tc>
          <w:tcPr>
            <w:tcW w:w="1305" w:type="pct"/>
            <w:vMerge/>
          </w:tcPr>
          <w:p w14:paraId="3D10B4ED" w14:textId="77777777" w:rsidR="00817293" w:rsidRDefault="00817293" w:rsidP="00817293"/>
        </w:tc>
        <w:tc>
          <w:tcPr>
            <w:tcW w:w="1958" w:type="pct"/>
            <w:hideMark/>
          </w:tcPr>
          <w:p w14:paraId="3D10B4EE" w14:textId="4E7DE0EF" w:rsidR="00817293" w:rsidRDefault="00817293" w:rsidP="00817293">
            <w:r>
              <w:t>2. Zweden</w:t>
            </w:r>
          </w:p>
        </w:tc>
        <w:tc>
          <w:tcPr>
            <w:tcW w:w="1293" w:type="pct"/>
          </w:tcPr>
          <w:p w14:paraId="3D10B4EF" w14:textId="644AAD2B" w:rsidR="00817293" w:rsidRDefault="00817293" w:rsidP="00817293">
            <w:pPr>
              <w:tabs>
                <w:tab w:val="decimal" w:pos="1026"/>
              </w:tabs>
            </w:pPr>
            <w:r>
              <w:t>14,3</w:t>
            </w:r>
          </w:p>
        </w:tc>
      </w:tr>
      <w:tr w:rsidR="00817293" w14:paraId="3D10B4F5" w14:textId="77777777" w:rsidTr="005370D9">
        <w:tc>
          <w:tcPr>
            <w:tcW w:w="444" w:type="pct"/>
            <w:vMerge/>
          </w:tcPr>
          <w:p w14:paraId="3D10B4F1" w14:textId="77777777" w:rsidR="00817293" w:rsidRDefault="00817293" w:rsidP="00817293"/>
        </w:tc>
        <w:tc>
          <w:tcPr>
            <w:tcW w:w="1305" w:type="pct"/>
            <w:vMerge/>
          </w:tcPr>
          <w:p w14:paraId="3D10B4F2" w14:textId="77777777" w:rsidR="00817293" w:rsidRDefault="00817293" w:rsidP="00817293"/>
        </w:tc>
        <w:tc>
          <w:tcPr>
            <w:tcW w:w="1958" w:type="pct"/>
            <w:hideMark/>
          </w:tcPr>
          <w:p w14:paraId="3D10B4F3" w14:textId="460FE153" w:rsidR="00817293" w:rsidRDefault="00817293" w:rsidP="00817293">
            <w:r>
              <w:t>3. Noorwegen</w:t>
            </w:r>
          </w:p>
        </w:tc>
        <w:tc>
          <w:tcPr>
            <w:tcW w:w="1293" w:type="pct"/>
          </w:tcPr>
          <w:p w14:paraId="3D10B4F4" w14:textId="51623233" w:rsidR="00817293" w:rsidRDefault="00817293" w:rsidP="00817293">
            <w:pPr>
              <w:tabs>
                <w:tab w:val="decimal" w:pos="1026"/>
              </w:tabs>
            </w:pPr>
            <w:r>
              <w:t>8,7</w:t>
            </w:r>
          </w:p>
        </w:tc>
      </w:tr>
      <w:tr w:rsidR="00817293" w14:paraId="459F35E9" w14:textId="77777777" w:rsidTr="005370D9">
        <w:tc>
          <w:tcPr>
            <w:tcW w:w="444" w:type="pct"/>
            <w:vMerge/>
          </w:tcPr>
          <w:p w14:paraId="0256A770" w14:textId="46A3B75F" w:rsidR="00817293" w:rsidRDefault="00817293" w:rsidP="00817293"/>
        </w:tc>
        <w:tc>
          <w:tcPr>
            <w:tcW w:w="1305" w:type="pct"/>
            <w:vMerge/>
          </w:tcPr>
          <w:p w14:paraId="51622C68" w14:textId="77777777" w:rsidR="00817293" w:rsidRDefault="00817293" w:rsidP="00817293"/>
        </w:tc>
        <w:tc>
          <w:tcPr>
            <w:tcW w:w="1958" w:type="pct"/>
          </w:tcPr>
          <w:p w14:paraId="3E4E7EE1" w14:textId="30E1DD33" w:rsidR="00817293" w:rsidRPr="00046F4E" w:rsidRDefault="00817293" w:rsidP="00817293">
            <w:pPr>
              <w:rPr>
                <w:b/>
              </w:rPr>
            </w:pPr>
            <w:r>
              <w:rPr>
                <w:b/>
              </w:rPr>
              <w:t>5. Nederland</w:t>
            </w:r>
          </w:p>
        </w:tc>
        <w:tc>
          <w:tcPr>
            <w:tcW w:w="1293" w:type="pct"/>
          </w:tcPr>
          <w:p w14:paraId="64665A33" w14:textId="7DFD12A2" w:rsidR="00817293" w:rsidRPr="00046F4E" w:rsidRDefault="00817293" w:rsidP="00817293">
            <w:pPr>
              <w:tabs>
                <w:tab w:val="decimal" w:pos="1026"/>
              </w:tabs>
              <w:rPr>
                <w:b/>
              </w:rPr>
            </w:pPr>
            <w:r w:rsidRPr="00046F4E">
              <w:rPr>
                <w:b/>
              </w:rPr>
              <w:t>6,5</w:t>
            </w:r>
          </w:p>
        </w:tc>
      </w:tr>
      <w:tr w:rsidR="00817293" w14:paraId="3D10B4FA" w14:textId="77777777" w:rsidTr="005370D9">
        <w:tc>
          <w:tcPr>
            <w:tcW w:w="444" w:type="pct"/>
            <w:vMerge/>
          </w:tcPr>
          <w:p w14:paraId="3D10B4F6" w14:textId="77777777" w:rsidR="00817293" w:rsidRDefault="00817293" w:rsidP="00817293"/>
        </w:tc>
        <w:tc>
          <w:tcPr>
            <w:tcW w:w="1305" w:type="pct"/>
            <w:vMerge w:val="restart"/>
            <w:hideMark/>
          </w:tcPr>
          <w:p w14:paraId="3D10B4F7" w14:textId="77777777" w:rsidR="00817293" w:rsidRDefault="00817293" w:rsidP="00817293">
            <w:r w:rsidRPr="00A13499">
              <w:rPr>
                <w:i/>
              </w:rPr>
              <w:t>Non-</w:t>
            </w:r>
            <w:proofErr w:type="spellStart"/>
            <w:r w:rsidRPr="00A13499">
              <w:rPr>
                <w:i/>
              </w:rPr>
              <w:t>core</w:t>
            </w:r>
            <w:proofErr w:type="spellEnd"/>
            <w:r>
              <w:t>-bijdragen</w:t>
            </w:r>
          </w:p>
        </w:tc>
        <w:tc>
          <w:tcPr>
            <w:tcW w:w="1958" w:type="pct"/>
            <w:hideMark/>
          </w:tcPr>
          <w:p w14:paraId="3D10B4F8" w14:textId="18C8F5C7" w:rsidR="00817293" w:rsidRDefault="00817293" w:rsidP="00817293">
            <w:r>
              <w:t>1. Verenigde Staten</w:t>
            </w:r>
          </w:p>
        </w:tc>
        <w:tc>
          <w:tcPr>
            <w:tcW w:w="1293" w:type="pct"/>
          </w:tcPr>
          <w:p w14:paraId="3D10B4F9" w14:textId="66D3276F" w:rsidR="00817293" w:rsidRDefault="00817293" w:rsidP="00817293">
            <w:pPr>
              <w:tabs>
                <w:tab w:val="decimal" w:pos="1026"/>
              </w:tabs>
            </w:pPr>
            <w:r>
              <w:t>36</w:t>
            </w:r>
          </w:p>
        </w:tc>
      </w:tr>
      <w:tr w:rsidR="00817293" w14:paraId="3D10B4FF" w14:textId="77777777" w:rsidTr="005370D9">
        <w:tc>
          <w:tcPr>
            <w:tcW w:w="444" w:type="pct"/>
            <w:vMerge/>
          </w:tcPr>
          <w:p w14:paraId="3D10B4FB" w14:textId="77777777" w:rsidR="00817293" w:rsidRDefault="00817293" w:rsidP="00817293"/>
        </w:tc>
        <w:tc>
          <w:tcPr>
            <w:tcW w:w="1305" w:type="pct"/>
            <w:vMerge/>
          </w:tcPr>
          <w:p w14:paraId="3D10B4FC" w14:textId="77777777" w:rsidR="00817293" w:rsidRDefault="00817293" w:rsidP="00817293"/>
        </w:tc>
        <w:tc>
          <w:tcPr>
            <w:tcW w:w="1958" w:type="pct"/>
            <w:hideMark/>
          </w:tcPr>
          <w:p w14:paraId="3D10B4FD" w14:textId="127751E0" w:rsidR="00817293" w:rsidRDefault="00817293" w:rsidP="00817293">
            <w:r>
              <w:t xml:space="preserve">2. </w:t>
            </w:r>
            <w:r w:rsidRPr="00EB428E">
              <w:t>Europese Commissie</w:t>
            </w:r>
          </w:p>
        </w:tc>
        <w:tc>
          <w:tcPr>
            <w:tcW w:w="1293" w:type="pct"/>
          </w:tcPr>
          <w:p w14:paraId="3D10B4FE" w14:textId="5F0E442D" w:rsidR="00817293" w:rsidRDefault="00817293" w:rsidP="00817293">
            <w:pPr>
              <w:tabs>
                <w:tab w:val="decimal" w:pos="1026"/>
              </w:tabs>
            </w:pPr>
            <w:r>
              <w:t>19</w:t>
            </w:r>
          </w:p>
        </w:tc>
      </w:tr>
      <w:tr w:rsidR="00817293" w14:paraId="3D10B504" w14:textId="77777777" w:rsidTr="005370D9">
        <w:tc>
          <w:tcPr>
            <w:tcW w:w="444" w:type="pct"/>
            <w:vMerge/>
          </w:tcPr>
          <w:p w14:paraId="3D10B500" w14:textId="77777777" w:rsidR="00817293" w:rsidRDefault="00817293" w:rsidP="00817293"/>
        </w:tc>
        <w:tc>
          <w:tcPr>
            <w:tcW w:w="1305" w:type="pct"/>
            <w:vMerge/>
          </w:tcPr>
          <w:p w14:paraId="3D10B501" w14:textId="77777777" w:rsidR="00817293" w:rsidRDefault="00817293" w:rsidP="00817293"/>
        </w:tc>
        <w:tc>
          <w:tcPr>
            <w:tcW w:w="1958" w:type="pct"/>
            <w:hideMark/>
          </w:tcPr>
          <w:p w14:paraId="3D10B502" w14:textId="41AACDC8" w:rsidR="00817293" w:rsidRDefault="00817293" w:rsidP="00817293">
            <w:r>
              <w:t xml:space="preserve">3. </w:t>
            </w:r>
            <w:r w:rsidRPr="00EB428E">
              <w:t>Verenigd Koninkrijk</w:t>
            </w:r>
          </w:p>
        </w:tc>
        <w:tc>
          <w:tcPr>
            <w:tcW w:w="1293" w:type="pct"/>
          </w:tcPr>
          <w:p w14:paraId="3D10B503" w14:textId="6DF833B5" w:rsidR="00817293" w:rsidRDefault="00817293" w:rsidP="00817293">
            <w:pPr>
              <w:tabs>
                <w:tab w:val="decimal" w:pos="1026"/>
              </w:tabs>
            </w:pPr>
            <w:r>
              <w:t>12,7</w:t>
            </w:r>
          </w:p>
        </w:tc>
      </w:tr>
      <w:tr w:rsidR="00817293" w14:paraId="365EF3BB" w14:textId="77777777" w:rsidTr="005370D9">
        <w:tc>
          <w:tcPr>
            <w:tcW w:w="444" w:type="pct"/>
            <w:vMerge/>
          </w:tcPr>
          <w:p w14:paraId="0FAC2E8A" w14:textId="77777777" w:rsidR="00817293" w:rsidRDefault="00817293" w:rsidP="00817293"/>
        </w:tc>
        <w:tc>
          <w:tcPr>
            <w:tcW w:w="1305" w:type="pct"/>
            <w:vMerge/>
          </w:tcPr>
          <w:p w14:paraId="5B822A1D" w14:textId="77777777" w:rsidR="00817293" w:rsidRDefault="00817293" w:rsidP="00817293"/>
        </w:tc>
        <w:tc>
          <w:tcPr>
            <w:tcW w:w="1958" w:type="pct"/>
          </w:tcPr>
          <w:p w14:paraId="2B968D67" w14:textId="0C0EC2FC" w:rsidR="00817293" w:rsidRPr="00046F4E" w:rsidRDefault="00817293" w:rsidP="00817293">
            <w:pPr>
              <w:rPr>
                <w:b/>
              </w:rPr>
            </w:pPr>
            <w:r>
              <w:rPr>
                <w:b/>
              </w:rPr>
              <w:t>12</w:t>
            </w:r>
            <w:r w:rsidRPr="00046F4E">
              <w:rPr>
                <w:b/>
              </w:rPr>
              <w:t>. Nederland</w:t>
            </w:r>
          </w:p>
        </w:tc>
        <w:tc>
          <w:tcPr>
            <w:tcW w:w="1293" w:type="pct"/>
          </w:tcPr>
          <w:p w14:paraId="49BB6D5A" w14:textId="14562AEF" w:rsidR="00817293" w:rsidRPr="00046F4E" w:rsidRDefault="00817293" w:rsidP="00817293">
            <w:pPr>
              <w:tabs>
                <w:tab w:val="decimal" w:pos="1026"/>
              </w:tabs>
              <w:rPr>
                <w:b/>
              </w:rPr>
            </w:pPr>
            <w:r>
              <w:rPr>
                <w:b/>
              </w:rPr>
              <w:t>2,2</w:t>
            </w:r>
          </w:p>
        </w:tc>
      </w:tr>
      <w:tr w:rsidR="00F265B6" w14:paraId="3D10B509" w14:textId="77777777" w:rsidTr="005370D9">
        <w:tc>
          <w:tcPr>
            <w:tcW w:w="444" w:type="pct"/>
            <w:vMerge/>
          </w:tcPr>
          <w:p w14:paraId="3D10B505" w14:textId="77777777" w:rsidR="00F265B6" w:rsidRDefault="00F265B6" w:rsidP="00F265B6"/>
        </w:tc>
        <w:tc>
          <w:tcPr>
            <w:tcW w:w="1305" w:type="pct"/>
            <w:vMerge w:val="restart"/>
            <w:hideMark/>
          </w:tcPr>
          <w:p w14:paraId="3D10B506" w14:textId="77777777" w:rsidR="00F265B6" w:rsidRDefault="00F265B6" w:rsidP="00F265B6">
            <w:r>
              <w:t>Totaal bijdrage</w:t>
            </w:r>
          </w:p>
        </w:tc>
        <w:tc>
          <w:tcPr>
            <w:tcW w:w="1958" w:type="pct"/>
            <w:hideMark/>
          </w:tcPr>
          <w:p w14:paraId="3D10B507" w14:textId="77777777" w:rsidR="00F265B6" w:rsidRDefault="00F265B6" w:rsidP="00F265B6">
            <w:r>
              <w:t>1. Verenigd Koninkrijk</w:t>
            </w:r>
          </w:p>
        </w:tc>
        <w:tc>
          <w:tcPr>
            <w:tcW w:w="1293" w:type="pct"/>
          </w:tcPr>
          <w:p w14:paraId="3D10B508" w14:textId="77777777" w:rsidR="00F265B6" w:rsidRDefault="00F265B6" w:rsidP="00F265B6">
            <w:pPr>
              <w:tabs>
                <w:tab w:val="decimal" w:pos="1026"/>
              </w:tabs>
            </w:pPr>
            <w:r>
              <w:t>43,2</w:t>
            </w:r>
          </w:p>
        </w:tc>
      </w:tr>
      <w:tr w:rsidR="00F265B6" w14:paraId="3D10B50E" w14:textId="77777777" w:rsidTr="005370D9">
        <w:tc>
          <w:tcPr>
            <w:tcW w:w="444" w:type="pct"/>
            <w:vMerge/>
          </w:tcPr>
          <w:p w14:paraId="3D10B50A" w14:textId="77777777" w:rsidR="00F265B6" w:rsidRDefault="00F265B6" w:rsidP="00F265B6"/>
        </w:tc>
        <w:tc>
          <w:tcPr>
            <w:tcW w:w="1305" w:type="pct"/>
            <w:vMerge/>
          </w:tcPr>
          <w:p w14:paraId="3D10B50B" w14:textId="77777777" w:rsidR="00F265B6" w:rsidRDefault="00F265B6" w:rsidP="00F265B6"/>
        </w:tc>
        <w:tc>
          <w:tcPr>
            <w:tcW w:w="1958" w:type="pct"/>
            <w:hideMark/>
          </w:tcPr>
          <w:p w14:paraId="3D10B50C" w14:textId="77777777" w:rsidR="00F265B6" w:rsidRDefault="00F265B6" w:rsidP="00F265B6">
            <w:r>
              <w:t>2. Verenigde Staten</w:t>
            </w:r>
          </w:p>
        </w:tc>
        <w:tc>
          <w:tcPr>
            <w:tcW w:w="1293" w:type="pct"/>
          </w:tcPr>
          <w:p w14:paraId="3D10B50D" w14:textId="77777777" w:rsidR="00F265B6" w:rsidRDefault="00F265B6" w:rsidP="00F265B6">
            <w:pPr>
              <w:tabs>
                <w:tab w:val="decimal" w:pos="1026"/>
              </w:tabs>
            </w:pPr>
            <w:r>
              <w:t>39,8</w:t>
            </w:r>
          </w:p>
        </w:tc>
      </w:tr>
      <w:tr w:rsidR="00F265B6" w14:paraId="3D10B513" w14:textId="77777777" w:rsidTr="005370D9">
        <w:tc>
          <w:tcPr>
            <w:tcW w:w="444" w:type="pct"/>
            <w:vMerge/>
          </w:tcPr>
          <w:p w14:paraId="3D10B50F" w14:textId="77777777" w:rsidR="00F265B6" w:rsidRDefault="00F265B6" w:rsidP="00F265B6"/>
        </w:tc>
        <w:tc>
          <w:tcPr>
            <w:tcW w:w="1305" w:type="pct"/>
            <w:vMerge/>
          </w:tcPr>
          <w:p w14:paraId="3D10B510" w14:textId="77777777" w:rsidR="00F265B6" w:rsidRDefault="00F265B6" w:rsidP="00F265B6"/>
        </w:tc>
        <w:tc>
          <w:tcPr>
            <w:tcW w:w="1958" w:type="pct"/>
            <w:hideMark/>
          </w:tcPr>
          <w:p w14:paraId="3D10B511" w14:textId="77777777" w:rsidR="00F265B6" w:rsidRDefault="00F265B6" w:rsidP="00F265B6">
            <w:r>
              <w:t>3. Zweden</w:t>
            </w:r>
          </w:p>
        </w:tc>
        <w:tc>
          <w:tcPr>
            <w:tcW w:w="1293" w:type="pct"/>
          </w:tcPr>
          <w:p w14:paraId="3D10B512" w14:textId="77777777" w:rsidR="00F265B6" w:rsidRDefault="00F265B6" w:rsidP="00F265B6">
            <w:pPr>
              <w:tabs>
                <w:tab w:val="decimal" w:pos="1026"/>
              </w:tabs>
            </w:pPr>
            <w:r>
              <w:t>26,8</w:t>
            </w:r>
          </w:p>
        </w:tc>
      </w:tr>
      <w:tr w:rsidR="00F265B6" w14:paraId="3D10B518" w14:textId="77777777" w:rsidTr="005370D9">
        <w:tc>
          <w:tcPr>
            <w:tcW w:w="444" w:type="pct"/>
            <w:vMerge/>
          </w:tcPr>
          <w:p w14:paraId="3D10B514" w14:textId="77777777" w:rsidR="00F265B6" w:rsidRDefault="00F265B6" w:rsidP="00F265B6"/>
        </w:tc>
        <w:tc>
          <w:tcPr>
            <w:tcW w:w="1305" w:type="pct"/>
            <w:vMerge/>
          </w:tcPr>
          <w:p w14:paraId="3D10B515" w14:textId="77777777" w:rsidR="00F265B6" w:rsidRDefault="00F265B6" w:rsidP="00F265B6"/>
        </w:tc>
        <w:tc>
          <w:tcPr>
            <w:tcW w:w="1958" w:type="pct"/>
          </w:tcPr>
          <w:p w14:paraId="3D10B516" w14:textId="77777777" w:rsidR="00F265B6" w:rsidRPr="00F265B6" w:rsidRDefault="00F265B6" w:rsidP="00F265B6">
            <w:pPr>
              <w:rPr>
                <w:b/>
              </w:rPr>
            </w:pPr>
            <w:r w:rsidRPr="00F265B6">
              <w:rPr>
                <w:b/>
              </w:rPr>
              <w:t>8. Nederland</w:t>
            </w:r>
          </w:p>
        </w:tc>
        <w:tc>
          <w:tcPr>
            <w:tcW w:w="1293" w:type="pct"/>
          </w:tcPr>
          <w:p w14:paraId="3D10B517" w14:textId="77777777" w:rsidR="00F265B6" w:rsidRPr="00F265B6" w:rsidRDefault="00F265B6" w:rsidP="00F265B6">
            <w:pPr>
              <w:tabs>
                <w:tab w:val="decimal" w:pos="1026"/>
              </w:tabs>
              <w:rPr>
                <w:b/>
              </w:rPr>
            </w:pPr>
            <w:r w:rsidRPr="00F265B6">
              <w:rPr>
                <w:b/>
              </w:rPr>
              <w:t>8,7</w:t>
            </w:r>
          </w:p>
        </w:tc>
      </w:tr>
      <w:tr w:rsidR="00194F38" w14:paraId="7414DC26" w14:textId="77777777" w:rsidTr="00194F38">
        <w:tc>
          <w:tcPr>
            <w:tcW w:w="444" w:type="pct"/>
            <w:shd w:val="clear" w:color="auto" w:fill="D9D9D9" w:themeFill="background1" w:themeFillShade="D9"/>
          </w:tcPr>
          <w:p w14:paraId="0A1A34AC" w14:textId="77777777" w:rsidR="00194F38" w:rsidRDefault="00194F38" w:rsidP="00F265B6"/>
        </w:tc>
        <w:tc>
          <w:tcPr>
            <w:tcW w:w="1305" w:type="pct"/>
            <w:shd w:val="clear" w:color="auto" w:fill="D9D9D9" w:themeFill="background1" w:themeFillShade="D9"/>
          </w:tcPr>
          <w:p w14:paraId="2A6361EF" w14:textId="77777777" w:rsidR="00194F38" w:rsidRDefault="00194F38" w:rsidP="00F265B6"/>
        </w:tc>
        <w:tc>
          <w:tcPr>
            <w:tcW w:w="1958" w:type="pct"/>
            <w:shd w:val="clear" w:color="auto" w:fill="D9D9D9" w:themeFill="background1" w:themeFillShade="D9"/>
          </w:tcPr>
          <w:p w14:paraId="41B0D12F" w14:textId="77777777" w:rsidR="00194F38" w:rsidRPr="00F265B6" w:rsidRDefault="00194F38" w:rsidP="00F265B6">
            <w:pPr>
              <w:rPr>
                <w:b/>
              </w:rPr>
            </w:pPr>
          </w:p>
        </w:tc>
        <w:tc>
          <w:tcPr>
            <w:tcW w:w="1293" w:type="pct"/>
            <w:shd w:val="clear" w:color="auto" w:fill="D9D9D9" w:themeFill="background1" w:themeFillShade="D9"/>
          </w:tcPr>
          <w:p w14:paraId="3755DD3A" w14:textId="77777777" w:rsidR="00194F38" w:rsidRPr="00F265B6" w:rsidRDefault="00194F38" w:rsidP="00F265B6">
            <w:pPr>
              <w:tabs>
                <w:tab w:val="decimal" w:pos="1026"/>
              </w:tabs>
              <w:rPr>
                <w:b/>
              </w:rPr>
            </w:pPr>
          </w:p>
        </w:tc>
      </w:tr>
      <w:tr w:rsidR="00817293" w14:paraId="3D10B51D" w14:textId="77777777" w:rsidTr="005370D9">
        <w:tc>
          <w:tcPr>
            <w:tcW w:w="444" w:type="pct"/>
            <w:vMerge w:val="restart"/>
            <w:hideMark/>
          </w:tcPr>
          <w:p w14:paraId="3D10B519" w14:textId="77777777" w:rsidR="00817293" w:rsidRDefault="00817293" w:rsidP="00817293">
            <w:pPr>
              <w:ind w:right="-211"/>
            </w:pPr>
            <w:r>
              <w:t>2016</w:t>
            </w:r>
          </w:p>
        </w:tc>
        <w:tc>
          <w:tcPr>
            <w:tcW w:w="1305" w:type="pct"/>
            <w:vMerge w:val="restart"/>
            <w:hideMark/>
          </w:tcPr>
          <w:p w14:paraId="3D10B51A" w14:textId="77777777" w:rsidR="00817293" w:rsidRDefault="00817293" w:rsidP="00817293">
            <w:pPr>
              <w:ind w:right="-211"/>
            </w:pPr>
            <w:proofErr w:type="spellStart"/>
            <w:r w:rsidRPr="00A13499">
              <w:rPr>
                <w:i/>
              </w:rPr>
              <w:t>Core</w:t>
            </w:r>
            <w:proofErr w:type="spellEnd"/>
            <w:r>
              <w:t>-bijdrage</w:t>
            </w:r>
          </w:p>
        </w:tc>
        <w:tc>
          <w:tcPr>
            <w:tcW w:w="1958" w:type="pct"/>
            <w:hideMark/>
          </w:tcPr>
          <w:p w14:paraId="3D10B51B" w14:textId="36DB535D" w:rsidR="00817293" w:rsidRDefault="00817293" w:rsidP="00817293">
            <w:pPr>
              <w:ind w:right="-211"/>
            </w:pPr>
            <w:r>
              <w:t>1. Verenigd Koninkrijk</w:t>
            </w:r>
          </w:p>
        </w:tc>
        <w:tc>
          <w:tcPr>
            <w:tcW w:w="1293" w:type="pct"/>
          </w:tcPr>
          <w:p w14:paraId="3D10B51C" w14:textId="59F752DF" w:rsidR="00817293" w:rsidRDefault="00817293" w:rsidP="00817293">
            <w:pPr>
              <w:tabs>
                <w:tab w:val="decimal" w:pos="1026"/>
              </w:tabs>
              <w:ind w:right="-550"/>
            </w:pPr>
            <w:r>
              <w:t>31,6</w:t>
            </w:r>
          </w:p>
        </w:tc>
      </w:tr>
      <w:tr w:rsidR="00817293" w14:paraId="3D10B522" w14:textId="77777777" w:rsidTr="005370D9">
        <w:tc>
          <w:tcPr>
            <w:tcW w:w="444" w:type="pct"/>
            <w:vMerge/>
          </w:tcPr>
          <w:p w14:paraId="3D10B51E" w14:textId="77777777" w:rsidR="00817293" w:rsidRDefault="00817293" w:rsidP="00817293">
            <w:pPr>
              <w:ind w:right="-211"/>
            </w:pPr>
          </w:p>
        </w:tc>
        <w:tc>
          <w:tcPr>
            <w:tcW w:w="1305" w:type="pct"/>
            <w:vMerge/>
          </w:tcPr>
          <w:p w14:paraId="3D10B51F" w14:textId="77777777" w:rsidR="00817293" w:rsidRDefault="00817293" w:rsidP="00817293">
            <w:pPr>
              <w:ind w:right="-211"/>
            </w:pPr>
          </w:p>
        </w:tc>
        <w:tc>
          <w:tcPr>
            <w:tcW w:w="1958" w:type="pct"/>
            <w:hideMark/>
          </w:tcPr>
          <w:p w14:paraId="3D10B520" w14:textId="451D8CB7" w:rsidR="00817293" w:rsidRDefault="00817293" w:rsidP="00817293">
            <w:pPr>
              <w:ind w:right="-211"/>
            </w:pPr>
            <w:r>
              <w:t>2. Zweden</w:t>
            </w:r>
          </w:p>
        </w:tc>
        <w:tc>
          <w:tcPr>
            <w:tcW w:w="1293" w:type="pct"/>
          </w:tcPr>
          <w:p w14:paraId="3D10B521" w14:textId="7D65500F" w:rsidR="00817293" w:rsidRDefault="00817293" w:rsidP="00817293">
            <w:pPr>
              <w:tabs>
                <w:tab w:val="decimal" w:pos="1026"/>
              </w:tabs>
              <w:ind w:right="-211"/>
            </w:pPr>
            <w:r>
              <w:t>14,9</w:t>
            </w:r>
          </w:p>
        </w:tc>
      </w:tr>
      <w:tr w:rsidR="00817293" w14:paraId="3D10B527" w14:textId="77777777" w:rsidTr="005370D9">
        <w:tc>
          <w:tcPr>
            <w:tcW w:w="444" w:type="pct"/>
            <w:vMerge/>
          </w:tcPr>
          <w:p w14:paraId="3D10B523" w14:textId="77777777" w:rsidR="00817293" w:rsidRDefault="00817293" w:rsidP="00817293">
            <w:pPr>
              <w:ind w:right="-211"/>
            </w:pPr>
          </w:p>
        </w:tc>
        <w:tc>
          <w:tcPr>
            <w:tcW w:w="1305" w:type="pct"/>
            <w:vMerge/>
          </w:tcPr>
          <w:p w14:paraId="3D10B524" w14:textId="77777777" w:rsidR="00817293" w:rsidRDefault="00817293" w:rsidP="00817293">
            <w:pPr>
              <w:ind w:right="-211"/>
            </w:pPr>
          </w:p>
        </w:tc>
        <w:tc>
          <w:tcPr>
            <w:tcW w:w="1958" w:type="pct"/>
            <w:hideMark/>
          </w:tcPr>
          <w:p w14:paraId="3D10B525" w14:textId="205B5162" w:rsidR="00817293" w:rsidRDefault="00817293" w:rsidP="00817293">
            <w:pPr>
              <w:ind w:right="-211"/>
            </w:pPr>
            <w:r>
              <w:t>3. Noorwegen</w:t>
            </w:r>
          </w:p>
        </w:tc>
        <w:tc>
          <w:tcPr>
            <w:tcW w:w="1293" w:type="pct"/>
          </w:tcPr>
          <w:p w14:paraId="3D10B526" w14:textId="4AF44A3B" w:rsidR="00817293" w:rsidRDefault="00817293" w:rsidP="00817293">
            <w:pPr>
              <w:tabs>
                <w:tab w:val="decimal" w:pos="1026"/>
              </w:tabs>
              <w:ind w:right="-211"/>
            </w:pPr>
            <w:r>
              <w:t>8,4</w:t>
            </w:r>
          </w:p>
        </w:tc>
      </w:tr>
      <w:tr w:rsidR="00817293" w14:paraId="63BDC12A" w14:textId="77777777" w:rsidTr="005370D9">
        <w:tc>
          <w:tcPr>
            <w:tcW w:w="444" w:type="pct"/>
            <w:vMerge/>
          </w:tcPr>
          <w:p w14:paraId="6B56D7C2" w14:textId="173354BA" w:rsidR="00817293" w:rsidRDefault="00817293" w:rsidP="00817293">
            <w:pPr>
              <w:ind w:right="-211"/>
            </w:pPr>
          </w:p>
        </w:tc>
        <w:tc>
          <w:tcPr>
            <w:tcW w:w="1305" w:type="pct"/>
            <w:vMerge/>
          </w:tcPr>
          <w:p w14:paraId="7DA01B05" w14:textId="77777777" w:rsidR="00817293" w:rsidRDefault="00817293" w:rsidP="00817293">
            <w:pPr>
              <w:ind w:right="-211"/>
            </w:pPr>
          </w:p>
        </w:tc>
        <w:tc>
          <w:tcPr>
            <w:tcW w:w="1958" w:type="pct"/>
          </w:tcPr>
          <w:p w14:paraId="02397E3D" w14:textId="17D671C4" w:rsidR="00817293" w:rsidRPr="00046F4E" w:rsidRDefault="00817293" w:rsidP="00817293">
            <w:pPr>
              <w:ind w:right="-211"/>
              <w:rPr>
                <w:b/>
              </w:rPr>
            </w:pPr>
            <w:r>
              <w:rPr>
                <w:b/>
              </w:rPr>
              <w:t>5</w:t>
            </w:r>
            <w:r w:rsidRPr="00046F4E">
              <w:rPr>
                <w:b/>
              </w:rPr>
              <w:t>. Nederland</w:t>
            </w:r>
          </w:p>
        </w:tc>
        <w:tc>
          <w:tcPr>
            <w:tcW w:w="1293" w:type="pct"/>
          </w:tcPr>
          <w:p w14:paraId="72ACA188" w14:textId="0EC4D4F3" w:rsidR="00817293" w:rsidRPr="00046F4E" w:rsidRDefault="00817293" w:rsidP="00817293">
            <w:pPr>
              <w:tabs>
                <w:tab w:val="decimal" w:pos="1026"/>
              </w:tabs>
              <w:ind w:right="-211"/>
              <w:rPr>
                <w:b/>
              </w:rPr>
            </w:pPr>
            <w:r>
              <w:rPr>
                <w:b/>
              </w:rPr>
              <w:t>5,7</w:t>
            </w:r>
          </w:p>
        </w:tc>
      </w:tr>
      <w:tr w:rsidR="00817293" w14:paraId="3D10B52C" w14:textId="77777777" w:rsidTr="005370D9">
        <w:tc>
          <w:tcPr>
            <w:tcW w:w="444" w:type="pct"/>
            <w:vMerge/>
          </w:tcPr>
          <w:p w14:paraId="3D10B528" w14:textId="0A925F5A" w:rsidR="00817293" w:rsidRDefault="00817293" w:rsidP="00817293">
            <w:pPr>
              <w:ind w:right="-211"/>
            </w:pPr>
          </w:p>
        </w:tc>
        <w:tc>
          <w:tcPr>
            <w:tcW w:w="1305" w:type="pct"/>
            <w:vMerge w:val="restart"/>
            <w:hideMark/>
          </w:tcPr>
          <w:p w14:paraId="3D10B529" w14:textId="77777777" w:rsidR="00817293" w:rsidRDefault="00817293" w:rsidP="00817293">
            <w:pPr>
              <w:ind w:right="-211"/>
            </w:pPr>
            <w:r w:rsidRPr="00A13499">
              <w:rPr>
                <w:i/>
              </w:rPr>
              <w:t>Non-</w:t>
            </w:r>
            <w:proofErr w:type="spellStart"/>
            <w:r w:rsidRPr="00A13499">
              <w:rPr>
                <w:i/>
              </w:rPr>
              <w:t>core</w:t>
            </w:r>
            <w:proofErr w:type="spellEnd"/>
            <w:r>
              <w:t>-bijdragen</w:t>
            </w:r>
          </w:p>
        </w:tc>
        <w:tc>
          <w:tcPr>
            <w:tcW w:w="1958" w:type="pct"/>
            <w:hideMark/>
          </w:tcPr>
          <w:p w14:paraId="3D10B52A" w14:textId="1453388E" w:rsidR="00817293" w:rsidRDefault="00817293" w:rsidP="00817293">
            <w:pPr>
              <w:ind w:right="-211"/>
            </w:pPr>
            <w:r>
              <w:t>1. Verenigde Staten</w:t>
            </w:r>
          </w:p>
        </w:tc>
        <w:tc>
          <w:tcPr>
            <w:tcW w:w="1293" w:type="pct"/>
          </w:tcPr>
          <w:p w14:paraId="3D10B52B" w14:textId="3021956F" w:rsidR="00817293" w:rsidRDefault="00817293" w:rsidP="00817293">
            <w:pPr>
              <w:tabs>
                <w:tab w:val="decimal" w:pos="1026"/>
              </w:tabs>
              <w:ind w:right="-211"/>
            </w:pPr>
            <w:r>
              <w:t>45,6</w:t>
            </w:r>
          </w:p>
        </w:tc>
      </w:tr>
      <w:tr w:rsidR="00817293" w14:paraId="3D10B531" w14:textId="77777777" w:rsidTr="005370D9">
        <w:tc>
          <w:tcPr>
            <w:tcW w:w="444" w:type="pct"/>
            <w:vMerge/>
          </w:tcPr>
          <w:p w14:paraId="3D10B52D" w14:textId="77C28B24" w:rsidR="00817293" w:rsidRDefault="00817293" w:rsidP="00817293">
            <w:pPr>
              <w:ind w:right="-211"/>
            </w:pPr>
          </w:p>
        </w:tc>
        <w:tc>
          <w:tcPr>
            <w:tcW w:w="1305" w:type="pct"/>
            <w:vMerge/>
          </w:tcPr>
          <w:p w14:paraId="3D10B52E" w14:textId="77777777" w:rsidR="00817293" w:rsidRDefault="00817293" w:rsidP="00817293">
            <w:pPr>
              <w:ind w:right="-211"/>
            </w:pPr>
          </w:p>
        </w:tc>
        <w:tc>
          <w:tcPr>
            <w:tcW w:w="1958" w:type="pct"/>
            <w:hideMark/>
          </w:tcPr>
          <w:p w14:paraId="3D10B52F" w14:textId="1282491C" w:rsidR="00817293" w:rsidRDefault="00817293" w:rsidP="00817293">
            <w:pPr>
              <w:ind w:right="-211"/>
            </w:pPr>
            <w:r>
              <w:t>2. Zweden</w:t>
            </w:r>
          </w:p>
        </w:tc>
        <w:tc>
          <w:tcPr>
            <w:tcW w:w="1293" w:type="pct"/>
          </w:tcPr>
          <w:p w14:paraId="3D10B530" w14:textId="22A7E645" w:rsidR="00817293" w:rsidRDefault="00817293" w:rsidP="00817293">
            <w:pPr>
              <w:tabs>
                <w:tab w:val="decimal" w:pos="1026"/>
              </w:tabs>
              <w:ind w:right="-211"/>
            </w:pPr>
            <w:r>
              <w:t>21,7</w:t>
            </w:r>
          </w:p>
        </w:tc>
      </w:tr>
      <w:tr w:rsidR="00817293" w14:paraId="3D10B536" w14:textId="77777777" w:rsidTr="005370D9">
        <w:tc>
          <w:tcPr>
            <w:tcW w:w="444" w:type="pct"/>
            <w:vMerge/>
          </w:tcPr>
          <w:p w14:paraId="3D10B532" w14:textId="2B2D1166" w:rsidR="00817293" w:rsidRDefault="00817293" w:rsidP="00817293">
            <w:pPr>
              <w:ind w:right="-211"/>
            </w:pPr>
          </w:p>
        </w:tc>
        <w:tc>
          <w:tcPr>
            <w:tcW w:w="1305" w:type="pct"/>
            <w:vMerge/>
          </w:tcPr>
          <w:p w14:paraId="3D10B533" w14:textId="77777777" w:rsidR="00817293" w:rsidRDefault="00817293" w:rsidP="00817293">
            <w:pPr>
              <w:ind w:right="-211"/>
            </w:pPr>
          </w:p>
        </w:tc>
        <w:tc>
          <w:tcPr>
            <w:tcW w:w="1958" w:type="pct"/>
            <w:hideMark/>
          </w:tcPr>
          <w:p w14:paraId="3D10B534" w14:textId="26133656" w:rsidR="00817293" w:rsidRDefault="00817293" w:rsidP="00817293">
            <w:pPr>
              <w:ind w:right="-211"/>
            </w:pPr>
            <w:r>
              <w:t>3. Europese Commissie</w:t>
            </w:r>
          </w:p>
        </w:tc>
        <w:tc>
          <w:tcPr>
            <w:tcW w:w="1293" w:type="pct"/>
          </w:tcPr>
          <w:p w14:paraId="3D10B535" w14:textId="22DB4CC5" w:rsidR="00817293" w:rsidRDefault="00817293" w:rsidP="00817293">
            <w:pPr>
              <w:tabs>
                <w:tab w:val="decimal" w:pos="1026"/>
              </w:tabs>
              <w:ind w:right="-211"/>
            </w:pPr>
            <w:r>
              <w:t>21,3</w:t>
            </w:r>
          </w:p>
        </w:tc>
      </w:tr>
      <w:tr w:rsidR="00817293" w14:paraId="2C1F41C5" w14:textId="77777777" w:rsidTr="005370D9">
        <w:tc>
          <w:tcPr>
            <w:tcW w:w="444" w:type="pct"/>
            <w:vMerge/>
          </w:tcPr>
          <w:p w14:paraId="4033464A" w14:textId="77777777" w:rsidR="00817293" w:rsidRDefault="00817293" w:rsidP="00817293">
            <w:pPr>
              <w:ind w:right="-211"/>
            </w:pPr>
          </w:p>
        </w:tc>
        <w:tc>
          <w:tcPr>
            <w:tcW w:w="1305" w:type="pct"/>
            <w:vMerge/>
          </w:tcPr>
          <w:p w14:paraId="0A1C4E9E" w14:textId="77777777" w:rsidR="00817293" w:rsidRDefault="00817293" w:rsidP="00817293">
            <w:pPr>
              <w:ind w:right="-211"/>
            </w:pPr>
          </w:p>
        </w:tc>
        <w:tc>
          <w:tcPr>
            <w:tcW w:w="1958" w:type="pct"/>
          </w:tcPr>
          <w:p w14:paraId="7B00ACAE" w14:textId="3936C0DF" w:rsidR="00817293" w:rsidRPr="00A60092" w:rsidRDefault="00817293" w:rsidP="00817293">
            <w:pPr>
              <w:ind w:right="-211"/>
              <w:rPr>
                <w:b/>
              </w:rPr>
            </w:pPr>
            <w:r>
              <w:rPr>
                <w:b/>
              </w:rPr>
              <w:t>19</w:t>
            </w:r>
            <w:r w:rsidRPr="00046F4E">
              <w:rPr>
                <w:b/>
              </w:rPr>
              <w:t>. Nederland</w:t>
            </w:r>
          </w:p>
        </w:tc>
        <w:tc>
          <w:tcPr>
            <w:tcW w:w="1293" w:type="pct"/>
          </w:tcPr>
          <w:p w14:paraId="63ED92A2" w14:textId="7218A21F" w:rsidR="00817293" w:rsidRPr="00A60092" w:rsidRDefault="00817293" w:rsidP="00817293">
            <w:pPr>
              <w:tabs>
                <w:tab w:val="decimal" w:pos="1026"/>
              </w:tabs>
              <w:ind w:right="-211"/>
              <w:rPr>
                <w:b/>
              </w:rPr>
            </w:pPr>
            <w:r w:rsidRPr="00046F4E">
              <w:rPr>
                <w:b/>
              </w:rPr>
              <w:t>0</w:t>
            </w:r>
            <w:r>
              <w:rPr>
                <w:b/>
              </w:rPr>
              <w:t>,2</w:t>
            </w:r>
          </w:p>
        </w:tc>
      </w:tr>
      <w:tr w:rsidR="005150FC" w14:paraId="3D10B53B" w14:textId="77777777" w:rsidTr="005370D9">
        <w:tc>
          <w:tcPr>
            <w:tcW w:w="444" w:type="pct"/>
            <w:vMerge/>
          </w:tcPr>
          <w:p w14:paraId="3D10B537" w14:textId="012D9BFA" w:rsidR="005150FC" w:rsidRDefault="005150FC" w:rsidP="005150FC">
            <w:pPr>
              <w:ind w:right="-211"/>
            </w:pPr>
          </w:p>
        </w:tc>
        <w:tc>
          <w:tcPr>
            <w:tcW w:w="1305" w:type="pct"/>
            <w:vMerge w:val="restart"/>
            <w:hideMark/>
          </w:tcPr>
          <w:p w14:paraId="3D10B538" w14:textId="77777777" w:rsidR="005150FC" w:rsidRDefault="005150FC" w:rsidP="005150FC">
            <w:pPr>
              <w:ind w:right="-211"/>
            </w:pPr>
            <w:r>
              <w:t>Totaal bijdrage</w:t>
            </w:r>
          </w:p>
        </w:tc>
        <w:tc>
          <w:tcPr>
            <w:tcW w:w="1958" w:type="pct"/>
            <w:hideMark/>
          </w:tcPr>
          <w:p w14:paraId="3D10B539" w14:textId="77777777" w:rsidR="005150FC" w:rsidRDefault="005150FC" w:rsidP="00456E80">
            <w:pPr>
              <w:ind w:right="-211"/>
            </w:pPr>
            <w:r>
              <w:t xml:space="preserve">1. </w:t>
            </w:r>
            <w:r w:rsidR="00F265B6">
              <w:t>Verenigde Staten</w:t>
            </w:r>
          </w:p>
        </w:tc>
        <w:tc>
          <w:tcPr>
            <w:tcW w:w="1293" w:type="pct"/>
          </w:tcPr>
          <w:p w14:paraId="3D10B53A" w14:textId="15ABF6F4" w:rsidR="005150FC" w:rsidRDefault="00F265B6" w:rsidP="00F265B6">
            <w:pPr>
              <w:tabs>
                <w:tab w:val="decimal" w:pos="1026"/>
              </w:tabs>
              <w:ind w:right="-211"/>
            </w:pPr>
            <w:r>
              <w:t>49,3</w:t>
            </w:r>
          </w:p>
        </w:tc>
      </w:tr>
      <w:tr w:rsidR="005150FC" w14:paraId="3D10B540" w14:textId="77777777" w:rsidTr="005370D9">
        <w:tc>
          <w:tcPr>
            <w:tcW w:w="444" w:type="pct"/>
            <w:vMerge/>
          </w:tcPr>
          <w:p w14:paraId="3D10B53C" w14:textId="15707101" w:rsidR="005150FC" w:rsidRDefault="005150FC" w:rsidP="005150FC">
            <w:pPr>
              <w:ind w:right="-211"/>
            </w:pPr>
          </w:p>
        </w:tc>
        <w:tc>
          <w:tcPr>
            <w:tcW w:w="1305" w:type="pct"/>
            <w:vMerge/>
          </w:tcPr>
          <w:p w14:paraId="3D10B53D" w14:textId="77777777" w:rsidR="005150FC" w:rsidRDefault="005150FC" w:rsidP="005150FC">
            <w:pPr>
              <w:ind w:right="-211"/>
            </w:pPr>
          </w:p>
        </w:tc>
        <w:tc>
          <w:tcPr>
            <w:tcW w:w="1958" w:type="pct"/>
            <w:hideMark/>
          </w:tcPr>
          <w:p w14:paraId="3D10B53E" w14:textId="77777777" w:rsidR="005150FC" w:rsidRDefault="005150FC" w:rsidP="00456E80">
            <w:pPr>
              <w:ind w:right="-211"/>
            </w:pPr>
            <w:r>
              <w:t xml:space="preserve">2. </w:t>
            </w:r>
            <w:r w:rsidR="00F265B6">
              <w:t>Verenigd Koninkrijk</w:t>
            </w:r>
          </w:p>
        </w:tc>
        <w:tc>
          <w:tcPr>
            <w:tcW w:w="1293" w:type="pct"/>
          </w:tcPr>
          <w:p w14:paraId="3D10B53F" w14:textId="41EBFDB2" w:rsidR="005150FC" w:rsidRDefault="00F265B6" w:rsidP="008C3066">
            <w:pPr>
              <w:tabs>
                <w:tab w:val="decimal" w:pos="1026"/>
              </w:tabs>
              <w:ind w:right="-211"/>
            </w:pPr>
            <w:r>
              <w:t>42</w:t>
            </w:r>
            <w:r w:rsidR="008C3066">
              <w:t>,</w:t>
            </w:r>
            <w:r>
              <w:t>4</w:t>
            </w:r>
          </w:p>
        </w:tc>
      </w:tr>
      <w:tr w:rsidR="005150FC" w14:paraId="3D10B545" w14:textId="77777777" w:rsidTr="005370D9">
        <w:tc>
          <w:tcPr>
            <w:tcW w:w="444" w:type="pct"/>
            <w:vMerge/>
          </w:tcPr>
          <w:p w14:paraId="3D10B541" w14:textId="121EC804" w:rsidR="005150FC" w:rsidRDefault="005150FC" w:rsidP="005150FC">
            <w:pPr>
              <w:ind w:right="-211"/>
            </w:pPr>
          </w:p>
        </w:tc>
        <w:tc>
          <w:tcPr>
            <w:tcW w:w="1305" w:type="pct"/>
            <w:vMerge/>
          </w:tcPr>
          <w:p w14:paraId="3D10B542" w14:textId="77777777" w:rsidR="005150FC" w:rsidRDefault="005150FC" w:rsidP="005150FC">
            <w:pPr>
              <w:ind w:right="-211"/>
            </w:pPr>
          </w:p>
        </w:tc>
        <w:tc>
          <w:tcPr>
            <w:tcW w:w="1958" w:type="pct"/>
            <w:hideMark/>
          </w:tcPr>
          <w:p w14:paraId="3D10B543" w14:textId="77777777" w:rsidR="005150FC" w:rsidRDefault="005150FC" w:rsidP="00456E80">
            <w:pPr>
              <w:ind w:right="-211"/>
            </w:pPr>
            <w:r>
              <w:t xml:space="preserve">3. </w:t>
            </w:r>
            <w:r w:rsidR="00F265B6">
              <w:t>Zweden</w:t>
            </w:r>
          </w:p>
        </w:tc>
        <w:tc>
          <w:tcPr>
            <w:tcW w:w="1293" w:type="pct"/>
          </w:tcPr>
          <w:p w14:paraId="3D10B544" w14:textId="12779F16" w:rsidR="005150FC" w:rsidRDefault="00F265B6" w:rsidP="00F265B6">
            <w:pPr>
              <w:tabs>
                <w:tab w:val="decimal" w:pos="1026"/>
              </w:tabs>
              <w:ind w:right="-211"/>
            </w:pPr>
            <w:r>
              <w:t>36,6</w:t>
            </w:r>
          </w:p>
        </w:tc>
      </w:tr>
      <w:tr w:rsidR="00F265B6" w14:paraId="3D10B54A" w14:textId="77777777" w:rsidTr="005370D9">
        <w:tc>
          <w:tcPr>
            <w:tcW w:w="444" w:type="pct"/>
            <w:vMerge/>
          </w:tcPr>
          <w:p w14:paraId="3D10B546" w14:textId="0DEE852C" w:rsidR="00F265B6" w:rsidRDefault="00F265B6" w:rsidP="005150FC">
            <w:pPr>
              <w:ind w:right="-211"/>
            </w:pPr>
          </w:p>
        </w:tc>
        <w:tc>
          <w:tcPr>
            <w:tcW w:w="1305" w:type="pct"/>
            <w:vMerge/>
          </w:tcPr>
          <w:p w14:paraId="3D10B547" w14:textId="77777777" w:rsidR="00F265B6" w:rsidRDefault="00F265B6" w:rsidP="005150FC">
            <w:pPr>
              <w:ind w:right="-211"/>
            </w:pPr>
          </w:p>
        </w:tc>
        <w:tc>
          <w:tcPr>
            <w:tcW w:w="1958" w:type="pct"/>
          </w:tcPr>
          <w:p w14:paraId="3D10B548" w14:textId="77777777" w:rsidR="00F265B6" w:rsidRPr="00F265B6" w:rsidRDefault="00F265B6" w:rsidP="00456E80">
            <w:pPr>
              <w:ind w:right="-211"/>
              <w:rPr>
                <w:b/>
              </w:rPr>
            </w:pPr>
            <w:r w:rsidRPr="00F265B6">
              <w:rPr>
                <w:b/>
              </w:rPr>
              <w:t>12. Nederland</w:t>
            </w:r>
          </w:p>
        </w:tc>
        <w:tc>
          <w:tcPr>
            <w:tcW w:w="1293" w:type="pct"/>
          </w:tcPr>
          <w:p w14:paraId="3D10B549" w14:textId="5B4C01D1" w:rsidR="00F265B6" w:rsidRPr="00F265B6" w:rsidRDefault="00F265B6" w:rsidP="00F265B6">
            <w:pPr>
              <w:tabs>
                <w:tab w:val="decimal" w:pos="1026"/>
              </w:tabs>
              <w:ind w:right="-211"/>
              <w:rPr>
                <w:b/>
              </w:rPr>
            </w:pPr>
            <w:r w:rsidRPr="00F265B6">
              <w:rPr>
                <w:b/>
              </w:rPr>
              <w:t>5,9</w:t>
            </w:r>
          </w:p>
        </w:tc>
      </w:tr>
    </w:tbl>
    <w:p w14:paraId="3D10B54B" w14:textId="77777777" w:rsidR="009C6081" w:rsidRDefault="009C6081" w:rsidP="00B95FC2"/>
    <w:p w14:paraId="3D10B54C" w14:textId="630552D2" w:rsidR="009C6081" w:rsidRDefault="009C6081" w:rsidP="009C6081">
      <w:r w:rsidRPr="00ED5CCE">
        <w:rPr>
          <w:b/>
          <w:i/>
        </w:rPr>
        <w:t>CERF</w:t>
      </w:r>
      <w:r w:rsidR="00ED5CCE">
        <w:rPr>
          <w:b/>
          <w:i/>
        </w:rPr>
        <w:t xml:space="preserve"> - </w:t>
      </w:r>
      <w:r>
        <w:t>Financieel Overzicht (bedragen in USD miljoen)</w:t>
      </w:r>
    </w:p>
    <w:p w14:paraId="25595EB4" w14:textId="77777777" w:rsidR="003B3E90" w:rsidRDefault="003B3E90" w:rsidP="009C6081"/>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54"/>
        <w:gridCol w:w="3015"/>
        <w:gridCol w:w="1954"/>
      </w:tblGrid>
      <w:tr w:rsidR="009C6081" w14:paraId="3D10B551" w14:textId="77777777" w:rsidTr="00C371FD">
        <w:tc>
          <w:tcPr>
            <w:tcW w:w="425" w:type="pct"/>
            <w:tcBorders>
              <w:top w:val="single" w:sz="12" w:space="0" w:color="auto"/>
              <w:left w:val="single" w:sz="12" w:space="0" w:color="auto"/>
              <w:bottom w:val="single" w:sz="4" w:space="0" w:color="auto"/>
              <w:right w:val="single" w:sz="4" w:space="0" w:color="auto"/>
            </w:tcBorders>
            <w:shd w:val="clear" w:color="auto" w:fill="D9D9D9" w:themeFill="background1" w:themeFillShade="D9"/>
          </w:tcPr>
          <w:p w14:paraId="3D10B54D" w14:textId="5B9E9E0B" w:rsidR="009C6081" w:rsidRPr="000D1D77" w:rsidRDefault="009C6081" w:rsidP="000D1868">
            <w:pPr>
              <w:jc w:val="center"/>
              <w:rPr>
                <w:b/>
              </w:rPr>
            </w:pPr>
            <w:r>
              <w:rPr>
                <w:b/>
              </w:rPr>
              <w:t>Jaar</w:t>
            </w:r>
          </w:p>
        </w:tc>
        <w:tc>
          <w:tcPr>
            <w:tcW w:w="1339" w:type="pct"/>
            <w:tcBorders>
              <w:top w:val="single" w:sz="12" w:space="0" w:color="auto"/>
              <w:left w:val="single" w:sz="4" w:space="0" w:color="auto"/>
              <w:bottom w:val="single" w:sz="4" w:space="0" w:color="auto"/>
              <w:right w:val="single" w:sz="4" w:space="0" w:color="auto"/>
            </w:tcBorders>
            <w:shd w:val="clear" w:color="auto" w:fill="D9D9D9" w:themeFill="background1" w:themeFillShade="D9"/>
            <w:hideMark/>
          </w:tcPr>
          <w:p w14:paraId="3D10B54E" w14:textId="77777777" w:rsidR="009C6081" w:rsidRDefault="009C6081" w:rsidP="000D1868">
            <w:pPr>
              <w:jc w:val="center"/>
              <w:rPr>
                <w:b/>
              </w:rPr>
            </w:pPr>
            <w:r>
              <w:rPr>
                <w:b/>
              </w:rPr>
              <w:t>Inkomsten</w:t>
            </w:r>
          </w:p>
        </w:tc>
        <w:tc>
          <w:tcPr>
            <w:tcW w:w="1963" w:type="pct"/>
            <w:tcBorders>
              <w:top w:val="single" w:sz="12" w:space="0" w:color="auto"/>
              <w:left w:val="single" w:sz="4" w:space="0" w:color="auto"/>
              <w:bottom w:val="single" w:sz="4" w:space="0" w:color="auto"/>
              <w:right w:val="single" w:sz="4" w:space="0" w:color="auto"/>
            </w:tcBorders>
            <w:shd w:val="clear" w:color="auto" w:fill="D9D9D9" w:themeFill="background1" w:themeFillShade="D9"/>
            <w:hideMark/>
          </w:tcPr>
          <w:p w14:paraId="3D10B54F" w14:textId="77777777" w:rsidR="009C6081" w:rsidRDefault="009C6081" w:rsidP="000D1868">
            <w:pPr>
              <w:jc w:val="center"/>
              <w:rPr>
                <w:b/>
              </w:rPr>
            </w:pPr>
            <w:r>
              <w:rPr>
                <w:b/>
              </w:rPr>
              <w:t>Uitgaven</w:t>
            </w:r>
          </w:p>
        </w:tc>
        <w:tc>
          <w:tcPr>
            <w:tcW w:w="1273" w:type="pct"/>
            <w:tcBorders>
              <w:top w:val="single" w:sz="12" w:space="0" w:color="auto"/>
              <w:left w:val="single" w:sz="4" w:space="0" w:color="auto"/>
              <w:bottom w:val="single" w:sz="4" w:space="0" w:color="auto"/>
              <w:right w:val="single" w:sz="12" w:space="0" w:color="auto"/>
            </w:tcBorders>
            <w:shd w:val="clear" w:color="auto" w:fill="D9D9D9" w:themeFill="background1" w:themeFillShade="D9"/>
          </w:tcPr>
          <w:p w14:paraId="3D10B550" w14:textId="77777777" w:rsidR="009C6081" w:rsidRDefault="009C6081" w:rsidP="000D1868">
            <w:pPr>
              <w:jc w:val="center"/>
              <w:rPr>
                <w:b/>
              </w:rPr>
            </w:pPr>
            <w:r>
              <w:rPr>
                <w:b/>
              </w:rPr>
              <w:t>NL bijdrage</w:t>
            </w:r>
          </w:p>
        </w:tc>
      </w:tr>
      <w:tr w:rsidR="009C6081" w14:paraId="3D10B556" w14:textId="77777777" w:rsidTr="00C371FD">
        <w:tc>
          <w:tcPr>
            <w:tcW w:w="425" w:type="pct"/>
            <w:tcBorders>
              <w:top w:val="single" w:sz="12" w:space="0" w:color="auto"/>
              <w:left w:val="single" w:sz="12" w:space="0" w:color="auto"/>
              <w:bottom w:val="single" w:sz="4" w:space="0" w:color="auto"/>
              <w:right w:val="single" w:sz="4" w:space="0" w:color="auto"/>
            </w:tcBorders>
          </w:tcPr>
          <w:p w14:paraId="3D10B552" w14:textId="77777777" w:rsidR="009C6081" w:rsidRDefault="009C6081" w:rsidP="000D1868">
            <w:pPr>
              <w:jc w:val="center"/>
            </w:pPr>
            <w:r>
              <w:t>2014</w:t>
            </w:r>
          </w:p>
        </w:tc>
        <w:tc>
          <w:tcPr>
            <w:tcW w:w="1339" w:type="pct"/>
            <w:tcBorders>
              <w:top w:val="single" w:sz="12" w:space="0" w:color="auto"/>
              <w:left w:val="single" w:sz="4" w:space="0" w:color="auto"/>
              <w:bottom w:val="single" w:sz="4" w:space="0" w:color="auto"/>
              <w:right w:val="single" w:sz="4" w:space="0" w:color="auto"/>
            </w:tcBorders>
          </w:tcPr>
          <w:p w14:paraId="3D10B553" w14:textId="77777777" w:rsidR="009C6081" w:rsidRDefault="007B58DF" w:rsidP="00691BDA">
            <w:pPr>
              <w:jc w:val="center"/>
            </w:pPr>
            <w:r>
              <w:t>480</w:t>
            </w:r>
          </w:p>
        </w:tc>
        <w:tc>
          <w:tcPr>
            <w:tcW w:w="1963" w:type="pct"/>
            <w:tcBorders>
              <w:top w:val="single" w:sz="12" w:space="0" w:color="auto"/>
              <w:left w:val="single" w:sz="4" w:space="0" w:color="auto"/>
              <w:bottom w:val="single" w:sz="4" w:space="0" w:color="auto"/>
              <w:right w:val="single" w:sz="4" w:space="0" w:color="auto"/>
            </w:tcBorders>
          </w:tcPr>
          <w:p w14:paraId="3D10B554" w14:textId="77777777" w:rsidR="009C6081" w:rsidRDefault="007B58DF" w:rsidP="000D1868">
            <w:pPr>
              <w:tabs>
                <w:tab w:val="decimal" w:pos="885"/>
              </w:tabs>
              <w:jc w:val="center"/>
            </w:pPr>
            <w:r>
              <w:t>460,8</w:t>
            </w:r>
          </w:p>
        </w:tc>
        <w:tc>
          <w:tcPr>
            <w:tcW w:w="1273" w:type="pct"/>
            <w:tcBorders>
              <w:top w:val="single" w:sz="12" w:space="0" w:color="auto"/>
              <w:left w:val="single" w:sz="4" w:space="0" w:color="auto"/>
              <w:bottom w:val="single" w:sz="4" w:space="0" w:color="auto"/>
              <w:right w:val="single" w:sz="12" w:space="0" w:color="auto"/>
            </w:tcBorders>
          </w:tcPr>
          <w:p w14:paraId="3D10B555" w14:textId="77777777" w:rsidR="009C6081" w:rsidRPr="00147716" w:rsidRDefault="00250D3B" w:rsidP="00691BDA">
            <w:pPr>
              <w:tabs>
                <w:tab w:val="decimal" w:pos="885"/>
              </w:tabs>
              <w:rPr>
                <w:b/>
              </w:rPr>
            </w:pPr>
            <w:r w:rsidRPr="00147716">
              <w:rPr>
                <w:rStyle w:val="totaldonation"/>
                <w:b/>
              </w:rPr>
              <w:t>55</w:t>
            </w:r>
          </w:p>
        </w:tc>
      </w:tr>
      <w:tr w:rsidR="006A26D8" w14:paraId="3D10B55B" w14:textId="77777777" w:rsidTr="00C371FD">
        <w:tc>
          <w:tcPr>
            <w:tcW w:w="425" w:type="pct"/>
            <w:tcBorders>
              <w:top w:val="single" w:sz="4" w:space="0" w:color="auto"/>
              <w:left w:val="single" w:sz="12" w:space="0" w:color="auto"/>
              <w:bottom w:val="single" w:sz="4" w:space="0" w:color="auto"/>
              <w:right w:val="single" w:sz="4" w:space="0" w:color="auto"/>
            </w:tcBorders>
          </w:tcPr>
          <w:p w14:paraId="3D10B557" w14:textId="77777777" w:rsidR="006A26D8" w:rsidRDefault="006A26D8" w:rsidP="000D1868">
            <w:pPr>
              <w:jc w:val="center"/>
            </w:pPr>
            <w:r>
              <w:t>2015</w:t>
            </w:r>
          </w:p>
        </w:tc>
        <w:tc>
          <w:tcPr>
            <w:tcW w:w="1339" w:type="pct"/>
            <w:tcBorders>
              <w:top w:val="single" w:sz="4" w:space="0" w:color="auto"/>
              <w:left w:val="single" w:sz="4" w:space="0" w:color="auto"/>
              <w:bottom w:val="single" w:sz="4" w:space="0" w:color="auto"/>
              <w:right w:val="single" w:sz="4" w:space="0" w:color="auto"/>
            </w:tcBorders>
          </w:tcPr>
          <w:p w14:paraId="3D10B558" w14:textId="77777777" w:rsidR="006A26D8" w:rsidRDefault="00F265B6" w:rsidP="00691BDA">
            <w:pPr>
              <w:jc w:val="center"/>
            </w:pPr>
            <w:r>
              <w:t>402,9</w:t>
            </w:r>
          </w:p>
        </w:tc>
        <w:tc>
          <w:tcPr>
            <w:tcW w:w="1963" w:type="pct"/>
            <w:tcBorders>
              <w:top w:val="single" w:sz="4" w:space="0" w:color="auto"/>
              <w:left w:val="single" w:sz="4" w:space="0" w:color="auto"/>
              <w:bottom w:val="single" w:sz="4" w:space="0" w:color="auto"/>
              <w:right w:val="single" w:sz="4" w:space="0" w:color="auto"/>
            </w:tcBorders>
          </w:tcPr>
          <w:p w14:paraId="3D10B559" w14:textId="77777777" w:rsidR="006A26D8" w:rsidRDefault="007B58DF" w:rsidP="000D1868">
            <w:pPr>
              <w:tabs>
                <w:tab w:val="decimal" w:pos="885"/>
              </w:tabs>
              <w:jc w:val="center"/>
            </w:pPr>
            <w:r>
              <w:t>469,7</w:t>
            </w:r>
          </w:p>
        </w:tc>
        <w:tc>
          <w:tcPr>
            <w:tcW w:w="1273" w:type="pct"/>
            <w:tcBorders>
              <w:top w:val="single" w:sz="4" w:space="0" w:color="auto"/>
              <w:left w:val="single" w:sz="4" w:space="0" w:color="auto"/>
              <w:bottom w:val="single" w:sz="4" w:space="0" w:color="auto"/>
              <w:right w:val="single" w:sz="12" w:space="0" w:color="auto"/>
            </w:tcBorders>
          </w:tcPr>
          <w:p w14:paraId="3D10B55A" w14:textId="77777777" w:rsidR="006A26D8" w:rsidRPr="00147716" w:rsidRDefault="00250D3B" w:rsidP="00691BDA">
            <w:pPr>
              <w:tabs>
                <w:tab w:val="decimal" w:pos="885"/>
              </w:tabs>
              <w:rPr>
                <w:b/>
              </w:rPr>
            </w:pPr>
            <w:r w:rsidRPr="00147716">
              <w:rPr>
                <w:rStyle w:val="totaldonation"/>
                <w:b/>
              </w:rPr>
              <w:t>59,2</w:t>
            </w:r>
          </w:p>
        </w:tc>
      </w:tr>
      <w:tr w:rsidR="006A26D8" w14:paraId="3D10B560" w14:textId="77777777" w:rsidTr="00C371FD">
        <w:tc>
          <w:tcPr>
            <w:tcW w:w="425" w:type="pct"/>
            <w:tcBorders>
              <w:top w:val="single" w:sz="4" w:space="0" w:color="auto"/>
              <w:left w:val="single" w:sz="12" w:space="0" w:color="auto"/>
              <w:bottom w:val="single" w:sz="12" w:space="0" w:color="auto"/>
              <w:right w:val="single" w:sz="4" w:space="0" w:color="auto"/>
            </w:tcBorders>
          </w:tcPr>
          <w:p w14:paraId="3D10B55C" w14:textId="77777777" w:rsidR="006A26D8" w:rsidRDefault="006A26D8" w:rsidP="000D1868">
            <w:pPr>
              <w:jc w:val="center"/>
            </w:pPr>
            <w:r>
              <w:t>2016</w:t>
            </w:r>
          </w:p>
        </w:tc>
        <w:tc>
          <w:tcPr>
            <w:tcW w:w="1339" w:type="pct"/>
            <w:tcBorders>
              <w:top w:val="single" w:sz="4" w:space="0" w:color="auto"/>
              <w:left w:val="single" w:sz="4" w:space="0" w:color="auto"/>
              <w:bottom w:val="single" w:sz="12" w:space="0" w:color="auto"/>
              <w:right w:val="single" w:sz="4" w:space="0" w:color="auto"/>
            </w:tcBorders>
          </w:tcPr>
          <w:p w14:paraId="3D10B55D" w14:textId="77777777" w:rsidR="006A26D8" w:rsidRDefault="00F265B6" w:rsidP="00691BDA">
            <w:pPr>
              <w:jc w:val="center"/>
            </w:pPr>
            <w:r>
              <w:t>426,3</w:t>
            </w:r>
          </w:p>
        </w:tc>
        <w:tc>
          <w:tcPr>
            <w:tcW w:w="1963" w:type="pct"/>
            <w:tcBorders>
              <w:top w:val="single" w:sz="4" w:space="0" w:color="auto"/>
              <w:left w:val="single" w:sz="4" w:space="0" w:color="auto"/>
              <w:bottom w:val="single" w:sz="12" w:space="0" w:color="auto"/>
              <w:right w:val="single" w:sz="4" w:space="0" w:color="auto"/>
            </w:tcBorders>
          </w:tcPr>
          <w:p w14:paraId="3D10B55E" w14:textId="77777777" w:rsidR="006A26D8" w:rsidRDefault="007B58DF" w:rsidP="000D1868">
            <w:pPr>
              <w:tabs>
                <w:tab w:val="decimal" w:pos="885"/>
              </w:tabs>
              <w:jc w:val="center"/>
            </w:pPr>
            <w:r>
              <w:t>438,9</w:t>
            </w:r>
          </w:p>
        </w:tc>
        <w:tc>
          <w:tcPr>
            <w:tcW w:w="1273" w:type="pct"/>
            <w:tcBorders>
              <w:top w:val="single" w:sz="4" w:space="0" w:color="auto"/>
              <w:left w:val="single" w:sz="4" w:space="0" w:color="auto"/>
              <w:bottom w:val="single" w:sz="12" w:space="0" w:color="auto"/>
              <w:right w:val="single" w:sz="12" w:space="0" w:color="auto"/>
            </w:tcBorders>
          </w:tcPr>
          <w:p w14:paraId="3D10B55F" w14:textId="77777777" w:rsidR="006A26D8" w:rsidRPr="00147716" w:rsidRDefault="00250D3B" w:rsidP="00691BDA">
            <w:pPr>
              <w:tabs>
                <w:tab w:val="decimal" w:pos="885"/>
              </w:tabs>
              <w:rPr>
                <w:b/>
              </w:rPr>
            </w:pPr>
            <w:r w:rsidRPr="00147716">
              <w:rPr>
                <w:rStyle w:val="totaldonation"/>
                <w:b/>
              </w:rPr>
              <w:t>60,5</w:t>
            </w:r>
          </w:p>
        </w:tc>
      </w:tr>
    </w:tbl>
    <w:p w14:paraId="3D10B561" w14:textId="44506BF7" w:rsidR="009C6081" w:rsidRDefault="009C6081" w:rsidP="000D1868">
      <w:pPr>
        <w:jc w:val="center"/>
        <w:rPr>
          <w:rStyle w:val="Strong"/>
          <w:b w:val="0"/>
        </w:rPr>
      </w:pPr>
    </w:p>
    <w:p w14:paraId="5C4ACC3A" w14:textId="33D05343" w:rsidR="003B3E90" w:rsidRDefault="003B3E90" w:rsidP="000D1868">
      <w:pPr>
        <w:jc w:val="center"/>
        <w:rPr>
          <w:rStyle w:val="Strong"/>
          <w:b w:val="0"/>
        </w:rPr>
      </w:pPr>
    </w:p>
    <w:p w14:paraId="5A16F5E6" w14:textId="550045B9" w:rsidR="003B3E90" w:rsidRDefault="003B3E90" w:rsidP="000D1868">
      <w:pPr>
        <w:jc w:val="center"/>
        <w:rPr>
          <w:rStyle w:val="Strong"/>
          <w:b w:val="0"/>
        </w:rPr>
      </w:pPr>
    </w:p>
    <w:p w14:paraId="067FBC40" w14:textId="57AD1280" w:rsidR="003B3E90" w:rsidRDefault="003B3E90" w:rsidP="000D1868">
      <w:pPr>
        <w:jc w:val="center"/>
        <w:rPr>
          <w:rStyle w:val="Strong"/>
          <w:b w:val="0"/>
        </w:rPr>
      </w:pPr>
    </w:p>
    <w:p w14:paraId="25ABAA3E" w14:textId="348A2603" w:rsidR="003B3E90" w:rsidRDefault="003B3E90" w:rsidP="000D1868">
      <w:pPr>
        <w:jc w:val="center"/>
        <w:rPr>
          <w:rStyle w:val="Strong"/>
          <w:b w:val="0"/>
        </w:rPr>
      </w:pPr>
    </w:p>
    <w:p w14:paraId="78A9EB5B" w14:textId="08CA1996" w:rsidR="003B3E90" w:rsidRDefault="003B3E90" w:rsidP="000D1868">
      <w:pPr>
        <w:jc w:val="center"/>
        <w:rPr>
          <w:rStyle w:val="Strong"/>
          <w:b w:val="0"/>
        </w:rPr>
      </w:pPr>
    </w:p>
    <w:p w14:paraId="3D10B562" w14:textId="08DCA034" w:rsidR="009C6081" w:rsidRDefault="009C6081" w:rsidP="000D1868">
      <w:pPr>
        <w:jc w:val="center"/>
      </w:pPr>
      <w:r w:rsidRPr="00ED5CCE">
        <w:rPr>
          <w:rStyle w:val="Strong"/>
          <w:i/>
          <w:lang w:val="en-US"/>
        </w:rPr>
        <w:t>Country Based Pooled Funds</w:t>
      </w:r>
      <w:r w:rsidR="00ED5CCE">
        <w:rPr>
          <w:rStyle w:val="Strong"/>
          <w:b w:val="0"/>
          <w:i/>
          <w:lang w:val="en-US"/>
        </w:rPr>
        <w:t xml:space="preserve"> </w:t>
      </w:r>
      <w:r w:rsidR="00AD6A8B">
        <w:rPr>
          <w:rStyle w:val="Strong"/>
          <w:b w:val="0"/>
          <w:i/>
          <w:lang w:val="en-US"/>
        </w:rPr>
        <w:t xml:space="preserve">- </w:t>
      </w:r>
      <w:proofErr w:type="spellStart"/>
      <w:r w:rsidR="00AD6A8B" w:rsidRPr="005370D9">
        <w:rPr>
          <w:rStyle w:val="Strong"/>
          <w:b w:val="0"/>
          <w:lang w:val="en-US"/>
        </w:rPr>
        <w:t>Financieel</w:t>
      </w:r>
      <w:proofErr w:type="spellEnd"/>
      <w:r>
        <w:t xml:space="preserve"> Overzicht (bedragen in USD miljoen)</w:t>
      </w:r>
    </w:p>
    <w:p w14:paraId="501D212A" w14:textId="77777777" w:rsidR="003B3E90" w:rsidRDefault="003B3E90" w:rsidP="000D1868">
      <w:pPr>
        <w:jc w:val="center"/>
      </w:pPr>
    </w:p>
    <w:tbl>
      <w:tblPr>
        <w:tblW w:w="4976"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55"/>
        <w:gridCol w:w="3014"/>
        <w:gridCol w:w="1917"/>
      </w:tblGrid>
      <w:tr w:rsidR="009C6081" w14:paraId="3D10B567" w14:textId="77777777" w:rsidTr="00C371FD">
        <w:tc>
          <w:tcPr>
            <w:tcW w:w="426"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D10B563" w14:textId="77777777" w:rsidR="009C6081" w:rsidRPr="009C6081" w:rsidRDefault="009C6081" w:rsidP="000D1868">
            <w:pPr>
              <w:jc w:val="center"/>
              <w:rPr>
                <w:b/>
              </w:rPr>
            </w:pPr>
            <w:r w:rsidRPr="009C6081">
              <w:rPr>
                <w:b/>
              </w:rPr>
              <w:t>Jaar</w:t>
            </w:r>
          </w:p>
        </w:tc>
        <w:tc>
          <w:tcPr>
            <w:tcW w:w="1346" w:type="pct"/>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D10B564" w14:textId="77777777" w:rsidR="009C6081" w:rsidRPr="009C6081" w:rsidRDefault="009C6081" w:rsidP="000D1868">
            <w:pPr>
              <w:tabs>
                <w:tab w:val="decimal" w:pos="743"/>
              </w:tabs>
              <w:jc w:val="center"/>
              <w:rPr>
                <w:b/>
              </w:rPr>
            </w:pPr>
            <w:r w:rsidRPr="009C6081">
              <w:rPr>
                <w:b/>
              </w:rPr>
              <w:t>Inkomsten</w:t>
            </w:r>
          </w:p>
        </w:tc>
        <w:tc>
          <w:tcPr>
            <w:tcW w:w="1972" w:type="pct"/>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D10B565" w14:textId="77777777" w:rsidR="009C6081" w:rsidRPr="009C6081" w:rsidRDefault="009C6081" w:rsidP="000D1868">
            <w:pPr>
              <w:tabs>
                <w:tab w:val="decimal" w:pos="743"/>
              </w:tabs>
              <w:jc w:val="center"/>
              <w:rPr>
                <w:b/>
              </w:rPr>
            </w:pPr>
            <w:r w:rsidRPr="009C6081">
              <w:rPr>
                <w:b/>
              </w:rPr>
              <w:t>Uitgaven</w:t>
            </w:r>
          </w:p>
        </w:tc>
        <w:tc>
          <w:tcPr>
            <w:tcW w:w="1256"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3D10B566" w14:textId="77777777" w:rsidR="009C6081" w:rsidRPr="009C6081" w:rsidRDefault="009C6081" w:rsidP="000D1868">
            <w:pPr>
              <w:tabs>
                <w:tab w:val="decimal" w:pos="743"/>
              </w:tabs>
              <w:jc w:val="center"/>
              <w:rPr>
                <w:b/>
              </w:rPr>
            </w:pPr>
            <w:r w:rsidRPr="009C6081">
              <w:rPr>
                <w:b/>
              </w:rPr>
              <w:t>NL bijdrage</w:t>
            </w:r>
          </w:p>
        </w:tc>
      </w:tr>
      <w:tr w:rsidR="009C6081" w14:paraId="3D10B56C" w14:textId="77777777" w:rsidTr="00C371FD">
        <w:tc>
          <w:tcPr>
            <w:tcW w:w="426" w:type="pct"/>
            <w:tcBorders>
              <w:top w:val="single" w:sz="12" w:space="0" w:color="auto"/>
              <w:left w:val="single" w:sz="12" w:space="0" w:color="auto"/>
              <w:right w:val="single" w:sz="4" w:space="0" w:color="auto"/>
            </w:tcBorders>
          </w:tcPr>
          <w:p w14:paraId="3D10B568" w14:textId="77777777" w:rsidR="009C6081" w:rsidRDefault="009C6081" w:rsidP="000D1868">
            <w:pPr>
              <w:jc w:val="center"/>
            </w:pPr>
            <w:r>
              <w:t>2014</w:t>
            </w:r>
          </w:p>
        </w:tc>
        <w:tc>
          <w:tcPr>
            <w:tcW w:w="1346" w:type="pct"/>
            <w:tcBorders>
              <w:top w:val="single" w:sz="12" w:space="0" w:color="auto"/>
              <w:left w:val="single" w:sz="4" w:space="0" w:color="auto"/>
              <w:bottom w:val="single" w:sz="4" w:space="0" w:color="auto"/>
              <w:right w:val="single" w:sz="4" w:space="0" w:color="auto"/>
            </w:tcBorders>
          </w:tcPr>
          <w:p w14:paraId="3D10B569" w14:textId="77777777" w:rsidR="009C6081" w:rsidRDefault="00A67768" w:rsidP="00691BDA">
            <w:pPr>
              <w:tabs>
                <w:tab w:val="decimal" w:pos="743"/>
              </w:tabs>
              <w:jc w:val="center"/>
            </w:pPr>
            <w:r>
              <w:t>456</w:t>
            </w:r>
          </w:p>
        </w:tc>
        <w:tc>
          <w:tcPr>
            <w:tcW w:w="1972" w:type="pct"/>
            <w:tcBorders>
              <w:top w:val="single" w:sz="12" w:space="0" w:color="auto"/>
              <w:left w:val="single" w:sz="4" w:space="0" w:color="auto"/>
              <w:bottom w:val="single" w:sz="4" w:space="0" w:color="auto"/>
              <w:right w:val="single" w:sz="4" w:space="0" w:color="auto"/>
            </w:tcBorders>
          </w:tcPr>
          <w:p w14:paraId="3D10B56A" w14:textId="77777777" w:rsidR="009C6081" w:rsidRDefault="00A67768" w:rsidP="000D1868">
            <w:pPr>
              <w:tabs>
                <w:tab w:val="decimal" w:pos="743"/>
              </w:tabs>
              <w:jc w:val="center"/>
            </w:pPr>
            <w:r>
              <w:t>418</w:t>
            </w:r>
          </w:p>
        </w:tc>
        <w:tc>
          <w:tcPr>
            <w:tcW w:w="1256" w:type="pct"/>
            <w:tcBorders>
              <w:top w:val="single" w:sz="12" w:space="0" w:color="auto"/>
              <w:left w:val="single" w:sz="4" w:space="0" w:color="auto"/>
              <w:bottom w:val="single" w:sz="4" w:space="0" w:color="auto"/>
              <w:right w:val="single" w:sz="12" w:space="0" w:color="auto"/>
            </w:tcBorders>
          </w:tcPr>
          <w:p w14:paraId="3D10B56B" w14:textId="77777777" w:rsidR="009C6081" w:rsidRPr="00147716" w:rsidRDefault="00250D3B" w:rsidP="00691BDA">
            <w:pPr>
              <w:tabs>
                <w:tab w:val="decimal" w:pos="743"/>
              </w:tabs>
              <w:rPr>
                <w:b/>
              </w:rPr>
            </w:pPr>
            <w:r w:rsidRPr="00147716">
              <w:rPr>
                <w:b/>
              </w:rPr>
              <w:t>44,1</w:t>
            </w:r>
          </w:p>
        </w:tc>
      </w:tr>
      <w:tr w:rsidR="006A26D8" w14:paraId="3D10B571" w14:textId="77777777" w:rsidTr="00C371FD">
        <w:tc>
          <w:tcPr>
            <w:tcW w:w="426" w:type="pct"/>
            <w:tcBorders>
              <w:left w:val="single" w:sz="12" w:space="0" w:color="auto"/>
              <w:right w:val="single" w:sz="4" w:space="0" w:color="auto"/>
            </w:tcBorders>
          </w:tcPr>
          <w:p w14:paraId="3D10B56D" w14:textId="77777777" w:rsidR="006A26D8" w:rsidRDefault="006A26D8" w:rsidP="000D1868">
            <w:pPr>
              <w:jc w:val="center"/>
            </w:pPr>
            <w:r>
              <w:t>2015</w:t>
            </w:r>
          </w:p>
        </w:tc>
        <w:tc>
          <w:tcPr>
            <w:tcW w:w="1346" w:type="pct"/>
            <w:tcBorders>
              <w:top w:val="single" w:sz="4" w:space="0" w:color="auto"/>
              <w:left w:val="single" w:sz="4" w:space="0" w:color="auto"/>
              <w:bottom w:val="single" w:sz="4" w:space="0" w:color="auto"/>
              <w:right w:val="single" w:sz="4" w:space="0" w:color="auto"/>
            </w:tcBorders>
          </w:tcPr>
          <w:p w14:paraId="3D10B56E" w14:textId="77777777" w:rsidR="006A26D8" w:rsidRDefault="001939DF" w:rsidP="00691BDA">
            <w:pPr>
              <w:tabs>
                <w:tab w:val="decimal" w:pos="743"/>
              </w:tabs>
              <w:jc w:val="center"/>
            </w:pPr>
            <w:r>
              <w:t>591</w:t>
            </w:r>
          </w:p>
        </w:tc>
        <w:tc>
          <w:tcPr>
            <w:tcW w:w="1972" w:type="pct"/>
            <w:tcBorders>
              <w:top w:val="single" w:sz="4" w:space="0" w:color="auto"/>
              <w:left w:val="single" w:sz="4" w:space="0" w:color="auto"/>
              <w:bottom w:val="single" w:sz="4" w:space="0" w:color="auto"/>
              <w:right w:val="single" w:sz="4" w:space="0" w:color="auto"/>
            </w:tcBorders>
          </w:tcPr>
          <w:p w14:paraId="3D10B56F" w14:textId="77777777" w:rsidR="006A26D8" w:rsidRDefault="001939DF" w:rsidP="000D1868">
            <w:pPr>
              <w:tabs>
                <w:tab w:val="decimal" w:pos="743"/>
              </w:tabs>
              <w:jc w:val="center"/>
            </w:pPr>
            <w:r>
              <w:t>505</w:t>
            </w:r>
          </w:p>
        </w:tc>
        <w:tc>
          <w:tcPr>
            <w:tcW w:w="1256" w:type="pct"/>
            <w:tcBorders>
              <w:top w:val="single" w:sz="4" w:space="0" w:color="auto"/>
              <w:left w:val="single" w:sz="4" w:space="0" w:color="auto"/>
              <w:bottom w:val="single" w:sz="4" w:space="0" w:color="auto"/>
              <w:right w:val="single" w:sz="12" w:space="0" w:color="auto"/>
            </w:tcBorders>
          </w:tcPr>
          <w:p w14:paraId="3D10B570" w14:textId="77777777" w:rsidR="006A26D8" w:rsidRPr="00147716" w:rsidRDefault="001939DF" w:rsidP="00691BDA">
            <w:pPr>
              <w:tabs>
                <w:tab w:val="decimal" w:pos="743"/>
              </w:tabs>
              <w:rPr>
                <w:b/>
              </w:rPr>
            </w:pPr>
            <w:r w:rsidRPr="00147716">
              <w:rPr>
                <w:b/>
              </w:rPr>
              <w:t>107,2</w:t>
            </w:r>
          </w:p>
        </w:tc>
      </w:tr>
      <w:tr w:rsidR="006A26D8" w14:paraId="3D10B576" w14:textId="77777777" w:rsidTr="00C371FD">
        <w:tc>
          <w:tcPr>
            <w:tcW w:w="426" w:type="pct"/>
            <w:tcBorders>
              <w:left w:val="single" w:sz="12" w:space="0" w:color="auto"/>
              <w:bottom w:val="single" w:sz="12" w:space="0" w:color="auto"/>
              <w:right w:val="single" w:sz="4" w:space="0" w:color="auto"/>
            </w:tcBorders>
          </w:tcPr>
          <w:p w14:paraId="3D10B572" w14:textId="77777777" w:rsidR="006A26D8" w:rsidRDefault="006A26D8" w:rsidP="000D1868">
            <w:pPr>
              <w:jc w:val="center"/>
            </w:pPr>
            <w:r>
              <w:t>2016</w:t>
            </w:r>
          </w:p>
        </w:tc>
        <w:tc>
          <w:tcPr>
            <w:tcW w:w="1346" w:type="pct"/>
            <w:tcBorders>
              <w:top w:val="single" w:sz="4" w:space="0" w:color="auto"/>
              <w:left w:val="single" w:sz="4" w:space="0" w:color="auto"/>
              <w:bottom w:val="single" w:sz="12" w:space="0" w:color="auto"/>
              <w:right w:val="single" w:sz="4" w:space="0" w:color="auto"/>
            </w:tcBorders>
          </w:tcPr>
          <w:p w14:paraId="3D10B573" w14:textId="77777777" w:rsidR="006A26D8" w:rsidRDefault="00F265B6" w:rsidP="00691BDA">
            <w:pPr>
              <w:tabs>
                <w:tab w:val="decimal" w:pos="743"/>
              </w:tabs>
              <w:jc w:val="center"/>
            </w:pPr>
            <w:r>
              <w:t>70</w:t>
            </w:r>
            <w:r w:rsidR="00250D3B">
              <w:t>6</w:t>
            </w:r>
          </w:p>
        </w:tc>
        <w:tc>
          <w:tcPr>
            <w:tcW w:w="1972" w:type="pct"/>
            <w:tcBorders>
              <w:top w:val="single" w:sz="4" w:space="0" w:color="auto"/>
              <w:left w:val="single" w:sz="4" w:space="0" w:color="auto"/>
              <w:bottom w:val="single" w:sz="12" w:space="0" w:color="auto"/>
              <w:right w:val="single" w:sz="4" w:space="0" w:color="auto"/>
            </w:tcBorders>
          </w:tcPr>
          <w:p w14:paraId="3D10B574" w14:textId="77777777" w:rsidR="006A26D8" w:rsidRDefault="0005656E" w:rsidP="000D1868">
            <w:pPr>
              <w:tabs>
                <w:tab w:val="decimal" w:pos="743"/>
              </w:tabs>
              <w:jc w:val="center"/>
            </w:pPr>
            <w:r w:rsidRPr="0005656E">
              <w:t>721</w:t>
            </w:r>
          </w:p>
        </w:tc>
        <w:tc>
          <w:tcPr>
            <w:tcW w:w="1256" w:type="pct"/>
            <w:tcBorders>
              <w:top w:val="single" w:sz="4" w:space="0" w:color="auto"/>
              <w:left w:val="single" w:sz="4" w:space="0" w:color="auto"/>
              <w:bottom w:val="single" w:sz="12" w:space="0" w:color="auto"/>
              <w:right w:val="single" w:sz="12" w:space="0" w:color="auto"/>
            </w:tcBorders>
          </w:tcPr>
          <w:p w14:paraId="3D10B575" w14:textId="77777777" w:rsidR="006A26D8" w:rsidRPr="00147716" w:rsidRDefault="00F458F2" w:rsidP="00691BDA">
            <w:pPr>
              <w:tabs>
                <w:tab w:val="decimal" w:pos="743"/>
              </w:tabs>
              <w:rPr>
                <w:b/>
              </w:rPr>
            </w:pPr>
            <w:r w:rsidRPr="00147716">
              <w:rPr>
                <w:b/>
              </w:rPr>
              <w:t>79,2</w:t>
            </w:r>
          </w:p>
        </w:tc>
      </w:tr>
    </w:tbl>
    <w:p w14:paraId="3D10B578" w14:textId="4425AAC1" w:rsidR="00CB0927" w:rsidRPr="00B95FC2" w:rsidRDefault="00CB0927" w:rsidP="00B95FC2"/>
    <w:p w14:paraId="3D10B579" w14:textId="13FF5445" w:rsidR="009811DF" w:rsidRDefault="00633895" w:rsidP="00F24A31">
      <w:pPr>
        <w:pStyle w:val="Heading1"/>
        <w:tabs>
          <w:tab w:val="num" w:pos="0"/>
        </w:tabs>
        <w:spacing w:after="240" w:line="240" w:lineRule="auto"/>
        <w:ind w:hanging="1162"/>
      </w:pPr>
      <w:bookmarkStart w:id="27" w:name="_Toc491439702"/>
      <w:r>
        <w:lastRenderedPageBreak/>
        <w:t>4</w:t>
      </w:r>
      <w:r w:rsidR="00F24A31">
        <w:t xml:space="preserve"> </w:t>
      </w:r>
      <w:r w:rsidR="00F24A31">
        <w:tab/>
      </w:r>
      <w:r w:rsidR="006C1EB0">
        <w:t>Institutionele aspecten</w:t>
      </w:r>
      <w:r w:rsidR="00D745A7">
        <w:t xml:space="preserve"> </w:t>
      </w:r>
      <w:r w:rsidR="009B1466">
        <w:t xml:space="preserve">en functioneren </w:t>
      </w:r>
      <w:r w:rsidR="00D745A7">
        <w:t>van de organisatie</w:t>
      </w:r>
      <w:bookmarkEnd w:id="27"/>
    </w:p>
    <w:p w14:paraId="77905750" w14:textId="77777777" w:rsidR="00633895" w:rsidRPr="00633895" w:rsidRDefault="00633895" w:rsidP="00633895">
      <w:pPr>
        <w:pStyle w:val="ListParagraph"/>
        <w:keepNext/>
        <w:widowControl w:val="0"/>
        <w:numPr>
          <w:ilvl w:val="0"/>
          <w:numId w:val="20"/>
        </w:numPr>
        <w:tabs>
          <w:tab w:val="left" w:pos="-1162"/>
          <w:tab w:val="left" w:pos="0"/>
        </w:tabs>
        <w:spacing w:before="200"/>
        <w:contextualSpacing/>
        <w:outlineLvl w:val="1"/>
        <w:rPr>
          <w:rFonts w:ascii="Verdana" w:eastAsia="Times New Roman" w:hAnsi="Verdana" w:cs="Arial"/>
          <w:b/>
          <w:iCs/>
          <w:vanish/>
          <w:kern w:val="32"/>
          <w:sz w:val="18"/>
          <w:szCs w:val="28"/>
        </w:rPr>
      </w:pPr>
    </w:p>
    <w:p w14:paraId="00796F5A" w14:textId="77777777" w:rsidR="00633895" w:rsidRPr="00633895" w:rsidRDefault="00633895" w:rsidP="00633895">
      <w:pPr>
        <w:pStyle w:val="ListParagraph"/>
        <w:keepNext/>
        <w:widowControl w:val="0"/>
        <w:numPr>
          <w:ilvl w:val="0"/>
          <w:numId w:val="20"/>
        </w:numPr>
        <w:tabs>
          <w:tab w:val="left" w:pos="-1162"/>
          <w:tab w:val="left" w:pos="0"/>
        </w:tabs>
        <w:spacing w:before="200"/>
        <w:contextualSpacing/>
        <w:outlineLvl w:val="1"/>
        <w:rPr>
          <w:rFonts w:ascii="Verdana" w:eastAsia="Times New Roman" w:hAnsi="Verdana" w:cs="Arial"/>
          <w:b/>
          <w:iCs/>
          <w:vanish/>
          <w:kern w:val="32"/>
          <w:sz w:val="18"/>
          <w:szCs w:val="28"/>
        </w:rPr>
      </w:pPr>
    </w:p>
    <w:p w14:paraId="3D10B57A" w14:textId="48A1133A" w:rsidR="00D745A7" w:rsidRPr="00973153" w:rsidRDefault="00633895" w:rsidP="00ED4248">
      <w:pPr>
        <w:pStyle w:val="Heading2"/>
        <w:numPr>
          <w:ilvl w:val="1"/>
          <w:numId w:val="20"/>
        </w:numPr>
        <w:tabs>
          <w:tab w:val="left" w:pos="-1162"/>
          <w:tab w:val="left" w:pos="0"/>
        </w:tabs>
        <w:spacing w:line="240" w:lineRule="auto"/>
      </w:pPr>
      <w:r>
        <w:t xml:space="preserve">             </w:t>
      </w:r>
      <w:bookmarkStart w:id="28" w:name="_Toc491439703"/>
      <w:r w:rsidR="00743337" w:rsidRPr="00973153">
        <w:t xml:space="preserve">Strategie en </w:t>
      </w:r>
      <w:r w:rsidR="002A310E" w:rsidRPr="00973153">
        <w:t>verantwoording</w:t>
      </w:r>
      <w:bookmarkEnd w:id="28"/>
    </w:p>
    <w:p w14:paraId="3D10B57C" w14:textId="56C1D412" w:rsidR="00061A91" w:rsidRDefault="00203CDE" w:rsidP="00061A91">
      <w:pPr>
        <w:autoSpaceDE w:val="0"/>
        <w:autoSpaceDN w:val="0"/>
        <w:adjustRightInd w:val="0"/>
        <w:spacing w:line="240" w:lineRule="auto"/>
        <w:rPr>
          <w:rFonts w:cs="Verdana"/>
          <w:szCs w:val="18"/>
        </w:rPr>
      </w:pPr>
      <w:r>
        <w:rPr>
          <w:color w:val="000000"/>
        </w:rPr>
        <w:t xml:space="preserve">OCHA heeft </w:t>
      </w:r>
      <w:r w:rsidR="00061A91" w:rsidRPr="00E41FCE">
        <w:rPr>
          <w:color w:val="000000"/>
        </w:rPr>
        <w:t xml:space="preserve">een helder kernmandaat </w:t>
      </w:r>
      <w:r w:rsidR="00345768">
        <w:rPr>
          <w:rFonts w:cs="Verdana"/>
          <w:szCs w:val="18"/>
        </w:rPr>
        <w:t>dat is uitgewerkt in de vijf kernfuncties zoals besproken in 2.2.</w:t>
      </w:r>
      <w:r w:rsidR="003B3E90">
        <w:rPr>
          <w:rFonts w:cs="Verdana"/>
          <w:szCs w:val="18"/>
        </w:rPr>
        <w:t xml:space="preserve"> Het mandaat richt zich op:</w:t>
      </w:r>
    </w:p>
    <w:p w14:paraId="3D10B57D" w14:textId="1FEF53EA" w:rsidR="00061A91" w:rsidRDefault="00061A91" w:rsidP="0082114C">
      <w:pPr>
        <w:numPr>
          <w:ilvl w:val="0"/>
          <w:numId w:val="42"/>
        </w:numPr>
        <w:autoSpaceDE w:val="0"/>
        <w:autoSpaceDN w:val="0"/>
        <w:adjustRightInd w:val="0"/>
        <w:spacing w:line="240" w:lineRule="auto"/>
        <w:rPr>
          <w:rFonts w:cs="Verdana"/>
          <w:szCs w:val="18"/>
        </w:rPr>
      </w:pPr>
      <w:r>
        <w:rPr>
          <w:rFonts w:cs="Verdana"/>
          <w:szCs w:val="18"/>
        </w:rPr>
        <w:t>Mobilisatie en coördinatie van effectie</w:t>
      </w:r>
      <w:r w:rsidR="0082114C">
        <w:rPr>
          <w:rFonts w:cs="Verdana"/>
          <w:szCs w:val="18"/>
        </w:rPr>
        <w:t xml:space="preserve">ve humanitaire hulpverlening in </w:t>
      </w:r>
      <w:r>
        <w:rPr>
          <w:rFonts w:cs="Verdana"/>
          <w:szCs w:val="18"/>
        </w:rPr>
        <w:t>samenwerking met nationale en internationale actoren om de noden ontstaan door rampen en crises te verlichten</w:t>
      </w:r>
      <w:r w:rsidR="00203CDE">
        <w:rPr>
          <w:rFonts w:cs="Verdana"/>
          <w:szCs w:val="18"/>
        </w:rPr>
        <w:t>;</w:t>
      </w:r>
    </w:p>
    <w:p w14:paraId="3D10B57E" w14:textId="3B72EAA9" w:rsidR="00061A91" w:rsidRDefault="00061A91" w:rsidP="0082114C">
      <w:pPr>
        <w:numPr>
          <w:ilvl w:val="0"/>
          <w:numId w:val="42"/>
        </w:numPr>
        <w:autoSpaceDE w:val="0"/>
        <w:autoSpaceDN w:val="0"/>
        <w:adjustRightInd w:val="0"/>
        <w:spacing w:line="240" w:lineRule="auto"/>
        <w:rPr>
          <w:rFonts w:cs="Verdana"/>
          <w:szCs w:val="18"/>
        </w:rPr>
      </w:pPr>
      <w:r>
        <w:rPr>
          <w:rFonts w:cs="Verdana"/>
          <w:szCs w:val="18"/>
        </w:rPr>
        <w:t>Pleitbezorging voor de rechten van mensen in nood</w:t>
      </w:r>
      <w:r w:rsidR="00203CDE">
        <w:rPr>
          <w:rFonts w:cs="Verdana"/>
          <w:szCs w:val="18"/>
        </w:rPr>
        <w:t>;</w:t>
      </w:r>
    </w:p>
    <w:p w14:paraId="3D10B57F" w14:textId="42A12724" w:rsidR="00061A91" w:rsidRDefault="00061A91" w:rsidP="0082114C">
      <w:pPr>
        <w:numPr>
          <w:ilvl w:val="0"/>
          <w:numId w:val="42"/>
        </w:numPr>
        <w:autoSpaceDE w:val="0"/>
        <w:autoSpaceDN w:val="0"/>
        <w:adjustRightInd w:val="0"/>
        <w:spacing w:line="240" w:lineRule="auto"/>
        <w:rPr>
          <w:rFonts w:cs="Verdana"/>
          <w:szCs w:val="18"/>
        </w:rPr>
      </w:pPr>
      <w:r>
        <w:rPr>
          <w:rFonts w:cs="Verdana"/>
          <w:szCs w:val="18"/>
        </w:rPr>
        <w:t>Bevorderen van rampenparaatheid –en preventie</w:t>
      </w:r>
      <w:r w:rsidR="00203CDE">
        <w:rPr>
          <w:rFonts w:cs="Verdana"/>
          <w:szCs w:val="18"/>
        </w:rPr>
        <w:t>;</w:t>
      </w:r>
    </w:p>
    <w:p w14:paraId="3D10B580" w14:textId="77777777" w:rsidR="00061A91" w:rsidRDefault="00061A91" w:rsidP="0082114C">
      <w:pPr>
        <w:numPr>
          <w:ilvl w:val="0"/>
          <w:numId w:val="42"/>
        </w:numPr>
        <w:rPr>
          <w:rFonts w:cs="Verdana"/>
          <w:szCs w:val="18"/>
        </w:rPr>
      </w:pPr>
      <w:r>
        <w:rPr>
          <w:rFonts w:cs="Verdana"/>
          <w:szCs w:val="18"/>
        </w:rPr>
        <w:t>Bevorderen van duurzame oplossingen voor humanitaire vraagstukken.</w:t>
      </w:r>
    </w:p>
    <w:p w14:paraId="3D10B581" w14:textId="77777777" w:rsidR="00061A91" w:rsidRDefault="00061A91" w:rsidP="00061A91">
      <w:pPr>
        <w:rPr>
          <w:rFonts w:cs="Verdana"/>
          <w:szCs w:val="18"/>
        </w:rPr>
      </w:pPr>
    </w:p>
    <w:p w14:paraId="3D10B582" w14:textId="5F67EC04" w:rsidR="00061A91" w:rsidRPr="00C044F5" w:rsidRDefault="00061A91" w:rsidP="00061A91">
      <w:pPr>
        <w:autoSpaceDE w:val="0"/>
        <w:autoSpaceDN w:val="0"/>
        <w:adjustRightInd w:val="0"/>
        <w:spacing w:line="240" w:lineRule="auto"/>
        <w:rPr>
          <w:rFonts w:cs="Verdana"/>
          <w:szCs w:val="18"/>
        </w:rPr>
      </w:pPr>
      <w:proofErr w:type="spellStart"/>
      <w:r>
        <w:rPr>
          <w:rFonts w:cs="Verdana"/>
          <w:szCs w:val="18"/>
        </w:rPr>
        <w:t>OCHA’s</w:t>
      </w:r>
      <w:proofErr w:type="spellEnd"/>
      <w:r>
        <w:rPr>
          <w:rFonts w:cs="Verdana"/>
          <w:szCs w:val="18"/>
        </w:rPr>
        <w:t xml:space="preserve"> visie is bij te dragen aan een wereld waarin mensen beter voorbereid zijn op crises, regeringen zich bewust zijn van risico’s en goed voorbereid zijn op een snelle en effectieve aanpak van rampen, en internationale hulp snel, efficiënt en adequaat geleverd wordt. De strategische doelen van de organisatie </w:t>
      </w:r>
      <w:r w:rsidR="006A1586">
        <w:rPr>
          <w:rFonts w:cs="Verdana"/>
          <w:szCs w:val="18"/>
        </w:rPr>
        <w:t>richten zich op verbetering van de effectiviteit van de humanitaire respons</w:t>
      </w:r>
      <w:r>
        <w:rPr>
          <w:rFonts w:cs="Verdana"/>
          <w:szCs w:val="18"/>
        </w:rPr>
        <w:t xml:space="preserve"> en een</w:t>
      </w:r>
      <w:r w:rsidR="0082114C">
        <w:rPr>
          <w:rFonts w:cs="Verdana"/>
          <w:szCs w:val="18"/>
        </w:rPr>
        <w:t xml:space="preserve"> meer</w:t>
      </w:r>
      <w:r>
        <w:rPr>
          <w:rFonts w:cs="Verdana"/>
          <w:szCs w:val="18"/>
        </w:rPr>
        <w:t xml:space="preserve"> diverse en flexibelere humanitaire sector.</w:t>
      </w:r>
    </w:p>
    <w:p w14:paraId="3D10B583" w14:textId="77777777" w:rsidR="00061A91" w:rsidRDefault="00061A91" w:rsidP="00061A91">
      <w:pPr>
        <w:rPr>
          <w:rFonts w:cs="Verdana"/>
          <w:szCs w:val="18"/>
        </w:rPr>
      </w:pPr>
    </w:p>
    <w:p w14:paraId="3D10B584" w14:textId="79C9374C" w:rsidR="00AB0659" w:rsidRDefault="00AB0659" w:rsidP="00AB0659">
      <w:pPr>
        <w:rPr>
          <w:color w:val="000000"/>
        </w:rPr>
      </w:pPr>
      <w:r>
        <w:rPr>
          <w:color w:val="000000"/>
        </w:rPr>
        <w:t xml:space="preserve">Het strategisch plan 2014-2017 is een concrete uitwerking van het mandaat van OCHA en de beleidsprioriteiten, en bevat een duidelijke langere-termijnvisie op het humanitaire systeem en </w:t>
      </w:r>
      <w:proofErr w:type="spellStart"/>
      <w:r>
        <w:rPr>
          <w:color w:val="000000"/>
        </w:rPr>
        <w:t>OCHA’s</w:t>
      </w:r>
      <w:proofErr w:type="spellEnd"/>
      <w:r>
        <w:rPr>
          <w:color w:val="000000"/>
        </w:rPr>
        <w:t xml:space="preserve"> unieke positie en rol daarin. Formeel heeft OCHA een resultatenraamwerk. Het ontbreekt echter aan een </w:t>
      </w:r>
      <w:r w:rsidR="00345768">
        <w:rPr>
          <w:color w:val="000000"/>
        </w:rPr>
        <w:t xml:space="preserve">in een </w:t>
      </w:r>
      <w:proofErr w:type="spellStart"/>
      <w:r>
        <w:rPr>
          <w:i/>
          <w:color w:val="000000"/>
        </w:rPr>
        <w:t>Theory</w:t>
      </w:r>
      <w:proofErr w:type="spellEnd"/>
      <w:r>
        <w:rPr>
          <w:i/>
          <w:color w:val="000000"/>
        </w:rPr>
        <w:t xml:space="preserve"> of Change</w:t>
      </w:r>
      <w:r w:rsidR="00345768">
        <w:rPr>
          <w:color w:val="000000"/>
        </w:rPr>
        <w:t xml:space="preserve"> neergelegde visie op hoe de resultaten bijdragen aan betere hulpverlening,</w:t>
      </w:r>
      <w:r>
        <w:rPr>
          <w:color w:val="000000"/>
        </w:rPr>
        <w:t xml:space="preserve"> aan daadwerkelijke verantwoording op resultaten, en aan terugkoppeling van resultaten in het planningsproces.</w:t>
      </w:r>
      <w:r w:rsidR="00F65C70">
        <w:rPr>
          <w:color w:val="000000"/>
        </w:rPr>
        <w:t xml:space="preserve"> Nederland zal zich in de besprekingen over een nieuw strategisch plan inzetten voor adequate mechanismen op dit terrein.</w:t>
      </w:r>
    </w:p>
    <w:p w14:paraId="3D10B585" w14:textId="77777777" w:rsidR="00AB0659" w:rsidRDefault="00AB0659" w:rsidP="00061A91">
      <w:pPr>
        <w:rPr>
          <w:color w:val="000000"/>
        </w:rPr>
      </w:pPr>
    </w:p>
    <w:p w14:paraId="3D10B586" w14:textId="77777777" w:rsidR="00061A91" w:rsidRDefault="00061A91" w:rsidP="00061A91">
      <w:pPr>
        <w:rPr>
          <w:color w:val="000000"/>
        </w:rPr>
      </w:pPr>
      <w:r>
        <w:t>OCHA focust zich op de landen die het meest kwetsbaar zijn voor humanitaire crises en speelt een essentiële rol bij met name de meest ernstige en grootschalige humanitaire crises</w:t>
      </w:r>
      <w:r w:rsidR="00C43A34">
        <w:t xml:space="preserve"> (L3-classificatie)</w:t>
      </w:r>
      <w:r>
        <w:t xml:space="preserve">. </w:t>
      </w:r>
      <w:r w:rsidR="00D92018">
        <w:t xml:space="preserve">De kerntaak ligt op de coördinatie van de </w:t>
      </w:r>
      <w:r w:rsidR="00350045">
        <w:t xml:space="preserve">internationale </w:t>
      </w:r>
      <w:r w:rsidR="00D92018">
        <w:t>humanitaire hulpverlening</w:t>
      </w:r>
      <w:r w:rsidR="00350045">
        <w:t xml:space="preserve"> en afstemming met de overheid</w:t>
      </w:r>
      <w:r w:rsidR="00D92018">
        <w:t>.</w:t>
      </w:r>
      <w:r w:rsidR="00D92018" w:rsidDel="00D92018">
        <w:t xml:space="preserve"> </w:t>
      </w:r>
      <w:r w:rsidR="00D92018">
        <w:t>W</w:t>
      </w:r>
      <w:r w:rsidR="00361B44">
        <w:t xml:space="preserve">aar mogelijk en opportuun – bijvoorbeeld in langdurige crisissituaties – is OCHA zich steeds beter bewust van de noodzaak de aansluiting </w:t>
      </w:r>
      <w:r w:rsidR="00D92018">
        <w:t xml:space="preserve">met nationaal ontwikkelingsbeleid </w:t>
      </w:r>
      <w:r w:rsidR="00361B44">
        <w:t xml:space="preserve">te bewerkstelligen. OCHA speelt een actieve </w:t>
      </w:r>
      <w:r w:rsidR="00D92018">
        <w:t xml:space="preserve">faciliterende </w:t>
      </w:r>
      <w:r w:rsidR="00361B44">
        <w:t xml:space="preserve">rol in de vele initiatieven die met name sinds de </w:t>
      </w:r>
      <w:r w:rsidR="00361B44" w:rsidRPr="00AD6A8B">
        <w:rPr>
          <w:i/>
        </w:rPr>
        <w:t xml:space="preserve">World </w:t>
      </w:r>
      <w:proofErr w:type="spellStart"/>
      <w:r w:rsidR="00361B44" w:rsidRPr="00AD6A8B">
        <w:rPr>
          <w:i/>
        </w:rPr>
        <w:t>Humanitarian</w:t>
      </w:r>
      <w:proofErr w:type="spellEnd"/>
      <w:r w:rsidR="00361B44" w:rsidRPr="00AD6A8B">
        <w:rPr>
          <w:i/>
        </w:rPr>
        <w:t xml:space="preserve"> </w:t>
      </w:r>
      <w:proofErr w:type="spellStart"/>
      <w:r w:rsidR="00361B44" w:rsidRPr="00AD6A8B">
        <w:rPr>
          <w:i/>
        </w:rPr>
        <w:t>Summit</w:t>
      </w:r>
      <w:proofErr w:type="spellEnd"/>
      <w:r w:rsidR="00361B44">
        <w:t xml:space="preserve"> </w:t>
      </w:r>
      <w:r w:rsidR="00203CDE">
        <w:t xml:space="preserve">(2016) </w:t>
      </w:r>
      <w:r w:rsidR="00361B44">
        <w:t>worden ontplooid om de samenhang tussen korte(re) termijn humanitaire interventies en lange(re) termijn ontwikkelingsinspanningen te versterken.</w:t>
      </w:r>
      <w:r>
        <w:t xml:space="preserve"> </w:t>
      </w:r>
    </w:p>
    <w:p w14:paraId="3D10B587" w14:textId="77777777" w:rsidR="00061A91" w:rsidRPr="006A26D8" w:rsidRDefault="00061A91" w:rsidP="00061A91"/>
    <w:p w14:paraId="3D10B588" w14:textId="4EC3B0FA" w:rsidR="00CB4F2D" w:rsidRPr="006A26D8" w:rsidRDefault="00C43A34" w:rsidP="00CB4F2D">
      <w:pPr>
        <w:autoSpaceDE w:val="0"/>
        <w:autoSpaceDN w:val="0"/>
        <w:adjustRightInd w:val="0"/>
        <w:spacing w:line="240" w:lineRule="auto"/>
      </w:pPr>
      <w:r w:rsidRPr="006A26D8">
        <w:t>Zoals uiteengezet in 2.3 beschikt OCHA niet over een b</w:t>
      </w:r>
      <w:r w:rsidR="003D09E1">
        <w:t>estuurs</w:t>
      </w:r>
      <w:r w:rsidRPr="006A26D8">
        <w:t xml:space="preserve">orgaan zoals veel andere VN-instellingen. Wel speelt de </w:t>
      </w:r>
      <w:r w:rsidR="00501C53" w:rsidRPr="00514F30">
        <w:rPr>
          <w:i/>
        </w:rPr>
        <w:t>OCHA Donor Support Group</w:t>
      </w:r>
      <w:r w:rsidRPr="006A26D8">
        <w:t xml:space="preserve"> een belangrijke rol</w:t>
      </w:r>
      <w:r w:rsidR="005F2721" w:rsidRPr="006A26D8">
        <w:t xml:space="preserve"> in dit kader</w:t>
      </w:r>
      <w:r w:rsidRPr="006A26D8">
        <w:t xml:space="preserve">. De informatievoorziening en verantwoording aan donoren heeft de afgelopen periode een verbetering laten zien, met name aangezwengeld door de </w:t>
      </w:r>
      <w:r w:rsidR="005F2721" w:rsidRPr="006A26D8">
        <w:t xml:space="preserve">uitkomsten van de </w:t>
      </w:r>
      <w:proofErr w:type="spellStart"/>
      <w:r w:rsidR="005F2721" w:rsidRPr="00345768">
        <w:rPr>
          <w:i/>
        </w:rPr>
        <w:t>Functional</w:t>
      </w:r>
      <w:proofErr w:type="spellEnd"/>
      <w:r w:rsidR="005F2721" w:rsidRPr="00345768">
        <w:rPr>
          <w:i/>
        </w:rPr>
        <w:t xml:space="preserve"> Review</w:t>
      </w:r>
      <w:r w:rsidR="005F2721" w:rsidRPr="006A26D8">
        <w:t xml:space="preserve"> en de nauwe betrokkenheid die donoren geëist hebben bij de opvolging van de aanbevelingen daarvan. Ook voor overige belanghebbenden is OCHA voldoende aanspreekbaar.</w:t>
      </w:r>
    </w:p>
    <w:p w14:paraId="3D10B589" w14:textId="77777777" w:rsidR="00CB4F2D" w:rsidRPr="006A26D8" w:rsidRDefault="00CB4F2D" w:rsidP="00CB4F2D">
      <w:pPr>
        <w:autoSpaceDE w:val="0"/>
        <w:autoSpaceDN w:val="0"/>
        <w:adjustRightInd w:val="0"/>
        <w:spacing w:line="240" w:lineRule="auto"/>
      </w:pPr>
    </w:p>
    <w:p w14:paraId="3D10B58A" w14:textId="77777777" w:rsidR="00CB4F2D" w:rsidRPr="00CB4F2D" w:rsidRDefault="00CB4F2D" w:rsidP="00CB4F2D">
      <w:pPr>
        <w:autoSpaceDE w:val="0"/>
        <w:autoSpaceDN w:val="0"/>
        <w:adjustRightInd w:val="0"/>
        <w:spacing w:line="240" w:lineRule="auto"/>
        <w:rPr>
          <w:rFonts w:cs="Verdana"/>
          <w:szCs w:val="18"/>
        </w:rPr>
      </w:pPr>
      <w:r w:rsidRPr="0082114C">
        <w:t>OCHA bevindt zich</w:t>
      </w:r>
      <w:r w:rsidRPr="00CB4F2D">
        <w:rPr>
          <w:rFonts w:cs="Verdana"/>
          <w:szCs w:val="18"/>
        </w:rPr>
        <w:t xml:space="preserve"> in een lastige fase nu de uitkomsten van</w:t>
      </w:r>
      <w:r w:rsidR="00345768">
        <w:rPr>
          <w:rFonts w:cs="Verdana"/>
          <w:szCs w:val="18"/>
        </w:rPr>
        <w:t xml:space="preserve"> de</w:t>
      </w:r>
      <w:r w:rsidRPr="00CB4F2D">
        <w:rPr>
          <w:rFonts w:cs="Verdana"/>
          <w:szCs w:val="18"/>
        </w:rPr>
        <w:t xml:space="preserve"> </w:t>
      </w:r>
      <w:proofErr w:type="spellStart"/>
      <w:r w:rsidR="00345768" w:rsidRPr="00345768">
        <w:rPr>
          <w:rFonts w:cs="Verdana"/>
          <w:i/>
          <w:szCs w:val="18"/>
        </w:rPr>
        <w:t>Functional</w:t>
      </w:r>
      <w:proofErr w:type="spellEnd"/>
      <w:r w:rsidR="00345768" w:rsidRPr="00345768">
        <w:rPr>
          <w:rFonts w:cs="Verdana"/>
          <w:i/>
          <w:szCs w:val="18"/>
        </w:rPr>
        <w:t xml:space="preserve"> Review</w:t>
      </w:r>
      <w:r w:rsidR="00345768">
        <w:rPr>
          <w:rFonts w:cs="Verdana"/>
          <w:szCs w:val="18"/>
        </w:rPr>
        <w:t xml:space="preserve"> </w:t>
      </w:r>
      <w:r w:rsidRPr="00CB4F2D">
        <w:rPr>
          <w:rFonts w:cs="Verdana"/>
          <w:szCs w:val="18"/>
        </w:rPr>
        <w:t xml:space="preserve">moeten worden geïmplementeerd. Ook het tekortschietende </w:t>
      </w:r>
      <w:r w:rsidR="00605687">
        <w:rPr>
          <w:rFonts w:cs="Verdana"/>
          <w:szCs w:val="18"/>
        </w:rPr>
        <w:t>begrotingsbeleid</w:t>
      </w:r>
      <w:r w:rsidRPr="00CB4F2D">
        <w:rPr>
          <w:rFonts w:cs="Verdana"/>
          <w:szCs w:val="18"/>
        </w:rPr>
        <w:t xml:space="preserve"> waardoor tekorten op de begroting in 2015 en 2016 gefinancierd moesten worden uit reserves die eind 2016 bijna uitgeput waren heeft de organisatie veel hoofdbrekens gekost. OCHA heeft zich de kritiek van donoren waaronder N</w:t>
      </w:r>
      <w:r w:rsidR="00605687">
        <w:rPr>
          <w:rFonts w:cs="Verdana"/>
          <w:szCs w:val="18"/>
        </w:rPr>
        <w:t>ederland</w:t>
      </w:r>
      <w:r w:rsidRPr="00CB4F2D">
        <w:rPr>
          <w:rFonts w:cs="Verdana"/>
          <w:szCs w:val="18"/>
        </w:rPr>
        <w:t xml:space="preserve"> op </w:t>
      </w:r>
      <w:r w:rsidR="00605687">
        <w:rPr>
          <w:rFonts w:cs="Verdana"/>
          <w:szCs w:val="18"/>
        </w:rPr>
        <w:t>de begrotingstekorten en</w:t>
      </w:r>
      <w:r w:rsidRPr="00CB4F2D">
        <w:rPr>
          <w:rFonts w:cs="Verdana"/>
          <w:szCs w:val="18"/>
        </w:rPr>
        <w:t xml:space="preserve"> de uitkomsten van de </w:t>
      </w:r>
      <w:proofErr w:type="spellStart"/>
      <w:r w:rsidRPr="00345768">
        <w:rPr>
          <w:rFonts w:cs="Verdana"/>
          <w:i/>
          <w:szCs w:val="18"/>
        </w:rPr>
        <w:t>Functional</w:t>
      </w:r>
      <w:proofErr w:type="spellEnd"/>
      <w:r w:rsidRPr="00345768">
        <w:rPr>
          <w:rFonts w:cs="Verdana"/>
          <w:i/>
          <w:szCs w:val="18"/>
        </w:rPr>
        <w:t xml:space="preserve"> Review</w:t>
      </w:r>
      <w:r w:rsidRPr="00CB4F2D">
        <w:rPr>
          <w:rFonts w:cs="Verdana"/>
          <w:szCs w:val="18"/>
        </w:rPr>
        <w:t xml:space="preserve"> zeer aangetrokken. Het is nu zaak het hervormingsproces verder te stimuleren en te monitoren.</w:t>
      </w:r>
    </w:p>
    <w:p w14:paraId="3D10B58B" w14:textId="26F99915" w:rsidR="00C43A34" w:rsidRPr="005F2721" w:rsidRDefault="00633895">
      <w:pPr>
        <w:spacing w:line="240" w:lineRule="auto"/>
        <w:rPr>
          <w:rFonts w:ascii="Calibri" w:hAnsi="Calibri"/>
          <w:sz w:val="22"/>
          <w:szCs w:val="22"/>
        </w:rPr>
      </w:pPr>
      <w:r>
        <w:rPr>
          <w:rFonts w:ascii="Calibri" w:hAnsi="Calibri"/>
          <w:sz w:val="22"/>
          <w:szCs w:val="22"/>
        </w:rPr>
        <w:br w:type="page"/>
      </w:r>
    </w:p>
    <w:p w14:paraId="50728A47" w14:textId="77777777" w:rsidR="00C43A34" w:rsidRPr="005F2721" w:rsidRDefault="00C43A34" w:rsidP="00061A91">
      <w:pPr>
        <w:pStyle w:val="NormalWeb"/>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9A513F" w14:paraId="3D10B590" w14:textId="77777777" w:rsidTr="00B142B1">
        <w:tc>
          <w:tcPr>
            <w:tcW w:w="6748" w:type="dxa"/>
            <w:tcBorders>
              <w:top w:val="single" w:sz="12" w:space="0" w:color="auto"/>
              <w:left w:val="single" w:sz="12" w:space="0" w:color="auto"/>
              <w:bottom w:val="single" w:sz="12" w:space="0" w:color="auto"/>
            </w:tcBorders>
            <w:shd w:val="clear" w:color="auto" w:fill="D9D9D9"/>
          </w:tcPr>
          <w:p w14:paraId="3D10B58E" w14:textId="77777777" w:rsidR="009A513F" w:rsidRPr="00EA0AA8" w:rsidRDefault="009A513F" w:rsidP="00326699">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9D9D9"/>
          </w:tcPr>
          <w:p w14:paraId="3D10B58F" w14:textId="77777777" w:rsidR="009A513F" w:rsidRPr="00EA0AA8" w:rsidRDefault="009A513F" w:rsidP="00326699">
            <w:pPr>
              <w:rPr>
                <w:b/>
              </w:rPr>
            </w:pPr>
            <w:r w:rsidRPr="00EA0AA8">
              <w:rPr>
                <w:b/>
              </w:rPr>
              <w:t>Score</w:t>
            </w:r>
          </w:p>
        </w:tc>
      </w:tr>
      <w:tr w:rsidR="009A513F" w14:paraId="3D10B593" w14:textId="77777777" w:rsidTr="00B142B1">
        <w:tc>
          <w:tcPr>
            <w:tcW w:w="6748" w:type="dxa"/>
            <w:tcBorders>
              <w:top w:val="single" w:sz="12" w:space="0" w:color="auto"/>
              <w:left w:val="single" w:sz="12" w:space="0" w:color="auto"/>
            </w:tcBorders>
            <w:shd w:val="clear" w:color="auto" w:fill="auto"/>
          </w:tcPr>
          <w:p w14:paraId="3D10B591" w14:textId="77777777" w:rsidR="009A513F" w:rsidRDefault="00DE2DA8" w:rsidP="00326699">
            <w:r>
              <w:t>Kernmandaat / Prioriteiten / Mission Creep</w:t>
            </w:r>
          </w:p>
        </w:tc>
        <w:tc>
          <w:tcPr>
            <w:tcW w:w="949" w:type="dxa"/>
            <w:tcBorders>
              <w:top w:val="single" w:sz="12" w:space="0" w:color="auto"/>
              <w:right w:val="single" w:sz="12" w:space="0" w:color="auto"/>
            </w:tcBorders>
            <w:shd w:val="clear" w:color="auto" w:fill="auto"/>
          </w:tcPr>
          <w:p w14:paraId="3D10B592" w14:textId="77777777" w:rsidR="009A513F" w:rsidRDefault="005F2721" w:rsidP="00326699">
            <w:r>
              <w:t>4</w:t>
            </w:r>
          </w:p>
        </w:tc>
      </w:tr>
      <w:tr w:rsidR="009A513F" w14:paraId="3D10B596" w14:textId="77777777" w:rsidTr="00B142B1">
        <w:tc>
          <w:tcPr>
            <w:tcW w:w="6748" w:type="dxa"/>
            <w:tcBorders>
              <w:left w:val="single" w:sz="12" w:space="0" w:color="auto"/>
            </w:tcBorders>
            <w:shd w:val="clear" w:color="auto" w:fill="auto"/>
          </w:tcPr>
          <w:p w14:paraId="3D10B594" w14:textId="77777777" w:rsidR="009A513F" w:rsidRDefault="00DE2DA8" w:rsidP="00326699">
            <w:r>
              <w:t>Beleidsstrategie</w:t>
            </w:r>
          </w:p>
        </w:tc>
        <w:tc>
          <w:tcPr>
            <w:tcW w:w="949" w:type="dxa"/>
            <w:tcBorders>
              <w:right w:val="single" w:sz="12" w:space="0" w:color="auto"/>
            </w:tcBorders>
            <w:shd w:val="clear" w:color="auto" w:fill="auto"/>
          </w:tcPr>
          <w:p w14:paraId="3D10B595" w14:textId="77777777" w:rsidR="009A513F" w:rsidRDefault="005F2721" w:rsidP="00326699">
            <w:r>
              <w:t>3</w:t>
            </w:r>
          </w:p>
        </w:tc>
      </w:tr>
      <w:tr w:rsidR="009A513F" w14:paraId="3D10B599" w14:textId="77777777" w:rsidTr="00B142B1">
        <w:tc>
          <w:tcPr>
            <w:tcW w:w="6748" w:type="dxa"/>
            <w:tcBorders>
              <w:left w:val="single" w:sz="12" w:space="0" w:color="auto"/>
              <w:bottom w:val="single" w:sz="4" w:space="0" w:color="auto"/>
            </w:tcBorders>
            <w:shd w:val="clear" w:color="auto" w:fill="auto"/>
          </w:tcPr>
          <w:p w14:paraId="3D10B597" w14:textId="77777777" w:rsidR="009A513F" w:rsidRPr="00194F38" w:rsidRDefault="00DE2DA8" w:rsidP="00326699">
            <w:proofErr w:type="spellStart"/>
            <w:r w:rsidRPr="00194F38">
              <w:t>Theory</w:t>
            </w:r>
            <w:proofErr w:type="spellEnd"/>
            <w:r w:rsidRPr="00194F38">
              <w:t xml:space="preserve"> of Change</w:t>
            </w:r>
          </w:p>
        </w:tc>
        <w:tc>
          <w:tcPr>
            <w:tcW w:w="949" w:type="dxa"/>
            <w:tcBorders>
              <w:right w:val="single" w:sz="12" w:space="0" w:color="auto"/>
            </w:tcBorders>
            <w:shd w:val="clear" w:color="auto" w:fill="auto"/>
          </w:tcPr>
          <w:p w14:paraId="3D10B598" w14:textId="77777777" w:rsidR="009A513F" w:rsidRDefault="005F2721" w:rsidP="00326699">
            <w:r>
              <w:t>2</w:t>
            </w:r>
          </w:p>
        </w:tc>
      </w:tr>
      <w:tr w:rsidR="009A513F" w14:paraId="3D10B59C" w14:textId="77777777" w:rsidTr="00B142B1">
        <w:tc>
          <w:tcPr>
            <w:tcW w:w="6748" w:type="dxa"/>
            <w:tcBorders>
              <w:top w:val="single" w:sz="4" w:space="0" w:color="auto"/>
              <w:left w:val="single" w:sz="12" w:space="0" w:color="auto"/>
              <w:bottom w:val="single" w:sz="4" w:space="0" w:color="auto"/>
            </w:tcBorders>
            <w:shd w:val="clear" w:color="auto" w:fill="auto"/>
          </w:tcPr>
          <w:p w14:paraId="3D10B59A" w14:textId="77777777" w:rsidR="009A513F" w:rsidRDefault="00DE2DA8" w:rsidP="00326699">
            <w:r>
              <w:t>Aansluiting Nationaal beleid / Armoedestrategie</w:t>
            </w:r>
          </w:p>
        </w:tc>
        <w:tc>
          <w:tcPr>
            <w:tcW w:w="949" w:type="dxa"/>
            <w:tcBorders>
              <w:bottom w:val="single" w:sz="4" w:space="0" w:color="auto"/>
              <w:right w:val="single" w:sz="12" w:space="0" w:color="auto"/>
            </w:tcBorders>
            <w:shd w:val="clear" w:color="auto" w:fill="auto"/>
          </w:tcPr>
          <w:p w14:paraId="3D10B59B" w14:textId="77777777" w:rsidR="009A513F" w:rsidRDefault="005F2721" w:rsidP="00326699">
            <w:r>
              <w:t>3</w:t>
            </w:r>
          </w:p>
        </w:tc>
      </w:tr>
      <w:tr w:rsidR="002A310E" w14:paraId="3D10B59F" w14:textId="77777777" w:rsidTr="00B142B1">
        <w:tc>
          <w:tcPr>
            <w:tcW w:w="6748" w:type="dxa"/>
            <w:tcBorders>
              <w:top w:val="single" w:sz="4" w:space="0" w:color="auto"/>
              <w:left w:val="single" w:sz="12" w:space="0" w:color="auto"/>
              <w:bottom w:val="single" w:sz="4" w:space="0" w:color="auto"/>
            </w:tcBorders>
            <w:shd w:val="clear" w:color="auto" w:fill="auto"/>
          </w:tcPr>
          <w:p w14:paraId="3D10B59D" w14:textId="77777777" w:rsidR="002A310E" w:rsidRDefault="005F3FB6" w:rsidP="00326699">
            <w:r>
              <w:t>Verantwoording</w:t>
            </w:r>
            <w:r w:rsidR="00BA3472">
              <w:t xml:space="preserve"> </w:t>
            </w:r>
          </w:p>
        </w:tc>
        <w:tc>
          <w:tcPr>
            <w:tcW w:w="949" w:type="dxa"/>
            <w:tcBorders>
              <w:bottom w:val="single" w:sz="4" w:space="0" w:color="auto"/>
              <w:right w:val="single" w:sz="12" w:space="0" w:color="auto"/>
            </w:tcBorders>
            <w:shd w:val="clear" w:color="auto" w:fill="auto"/>
          </w:tcPr>
          <w:p w14:paraId="3D10B59E" w14:textId="77777777" w:rsidR="002A310E" w:rsidRDefault="00345768" w:rsidP="00326699">
            <w:r>
              <w:t>2</w:t>
            </w:r>
          </w:p>
        </w:tc>
      </w:tr>
      <w:tr w:rsidR="00BA3472" w14:paraId="3D10B5A2" w14:textId="77777777" w:rsidTr="00B142B1">
        <w:tc>
          <w:tcPr>
            <w:tcW w:w="6748" w:type="dxa"/>
            <w:tcBorders>
              <w:top w:val="single" w:sz="4" w:space="0" w:color="auto"/>
              <w:left w:val="single" w:sz="12" w:space="0" w:color="auto"/>
              <w:bottom w:val="single" w:sz="12" w:space="0" w:color="auto"/>
            </w:tcBorders>
            <w:shd w:val="clear" w:color="auto" w:fill="auto"/>
          </w:tcPr>
          <w:p w14:paraId="3D10B5A0" w14:textId="77777777" w:rsidR="00BA3472" w:rsidRDefault="00BA3472" w:rsidP="003E0DD1">
            <w:r>
              <w:t xml:space="preserve">Aanspreekbaarheid </w:t>
            </w:r>
            <w:r w:rsidR="003E0DD1">
              <w:t>voor overige belanghebbenden</w:t>
            </w:r>
          </w:p>
        </w:tc>
        <w:tc>
          <w:tcPr>
            <w:tcW w:w="949" w:type="dxa"/>
            <w:tcBorders>
              <w:bottom w:val="single" w:sz="12" w:space="0" w:color="auto"/>
              <w:right w:val="single" w:sz="12" w:space="0" w:color="auto"/>
            </w:tcBorders>
            <w:shd w:val="clear" w:color="auto" w:fill="auto"/>
          </w:tcPr>
          <w:p w14:paraId="3D10B5A1" w14:textId="77777777" w:rsidR="00BA3472" w:rsidRDefault="00180CBA" w:rsidP="00326699">
            <w:r>
              <w:t>3</w:t>
            </w:r>
          </w:p>
        </w:tc>
      </w:tr>
      <w:tr w:rsidR="009A513F" w14:paraId="3D10B5A5" w14:textId="77777777" w:rsidTr="00B142B1">
        <w:tc>
          <w:tcPr>
            <w:tcW w:w="6748" w:type="dxa"/>
            <w:tcBorders>
              <w:top w:val="single" w:sz="12" w:space="0" w:color="auto"/>
              <w:left w:val="single" w:sz="12" w:space="0" w:color="auto"/>
              <w:bottom w:val="single" w:sz="12" w:space="0" w:color="auto"/>
            </w:tcBorders>
            <w:shd w:val="clear" w:color="auto" w:fill="D0CECE"/>
          </w:tcPr>
          <w:p w14:paraId="3D10B5A3" w14:textId="77777777" w:rsidR="009A513F" w:rsidRPr="00EA0AA8" w:rsidRDefault="009A513F" w:rsidP="00326699">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3D10B5A4" w14:textId="77777777" w:rsidR="009A513F" w:rsidRPr="00EA0AA8" w:rsidRDefault="00A04081" w:rsidP="00326699">
            <w:pPr>
              <w:rPr>
                <w:b/>
              </w:rPr>
            </w:pPr>
            <w:r>
              <w:rPr>
                <w:b/>
              </w:rPr>
              <w:t>3</w:t>
            </w:r>
          </w:p>
        </w:tc>
      </w:tr>
    </w:tbl>
    <w:p w14:paraId="1B6E2DC8" w14:textId="77777777" w:rsidR="00633895" w:rsidRDefault="00633895" w:rsidP="00633895">
      <w:pPr>
        <w:ind w:firstLine="227"/>
      </w:pPr>
    </w:p>
    <w:p w14:paraId="3D10B5A6" w14:textId="1194FB02" w:rsidR="00CD5427" w:rsidRDefault="00326699" w:rsidP="00633895">
      <w:pPr>
        <w:ind w:firstLine="227"/>
      </w:pPr>
      <w:r w:rsidRPr="00193994">
        <w:t>Verandering</w:t>
      </w:r>
      <w:r w:rsidR="009A513F">
        <w:t xml:space="preserve"> sinds 2015</w:t>
      </w:r>
      <w:r>
        <w:t>: neutraal</w:t>
      </w:r>
      <w:r w:rsidRPr="00193994">
        <w:t xml:space="preserve"> = </w:t>
      </w:r>
      <w:r w:rsidRPr="00193994">
        <w:sym w:font="Wingdings" w:char="F0E8"/>
      </w:r>
    </w:p>
    <w:p w14:paraId="6E607EFC" w14:textId="77777777" w:rsidR="00B142B1" w:rsidRDefault="00B142B1" w:rsidP="00326699"/>
    <w:p w14:paraId="3D10B5A7" w14:textId="0A8E7954" w:rsidR="00CD5427" w:rsidRPr="00973153" w:rsidRDefault="00633895" w:rsidP="00ED4248">
      <w:pPr>
        <w:pStyle w:val="Heading2"/>
        <w:numPr>
          <w:ilvl w:val="1"/>
          <w:numId w:val="20"/>
        </w:numPr>
        <w:tabs>
          <w:tab w:val="left" w:pos="-1162"/>
          <w:tab w:val="left" w:pos="0"/>
        </w:tabs>
        <w:spacing w:line="240" w:lineRule="auto"/>
        <w:rPr>
          <w:lang w:val="en-US"/>
        </w:rPr>
      </w:pPr>
      <w:r>
        <w:rPr>
          <w:lang w:val="en-US"/>
        </w:rPr>
        <w:t xml:space="preserve">             </w:t>
      </w:r>
      <w:bookmarkStart w:id="29" w:name="_Toc491439704"/>
      <w:proofErr w:type="spellStart"/>
      <w:r w:rsidR="00032C0E" w:rsidRPr="00973153">
        <w:rPr>
          <w:lang w:val="en-US"/>
        </w:rPr>
        <w:t>Resultaatgerichtheid</w:t>
      </w:r>
      <w:proofErr w:type="spellEnd"/>
      <w:r w:rsidR="00032C0E" w:rsidRPr="00973153">
        <w:rPr>
          <w:lang w:val="en-US"/>
        </w:rPr>
        <w:t xml:space="preserve"> </w:t>
      </w:r>
      <w:proofErr w:type="spellStart"/>
      <w:r w:rsidR="00032C0E" w:rsidRPr="00973153">
        <w:rPr>
          <w:lang w:val="en-US"/>
        </w:rPr>
        <w:t>en</w:t>
      </w:r>
      <w:proofErr w:type="spellEnd"/>
      <w:r w:rsidR="00032C0E" w:rsidRPr="00973153">
        <w:rPr>
          <w:lang w:val="en-US"/>
        </w:rPr>
        <w:t xml:space="preserve"> </w:t>
      </w:r>
      <w:proofErr w:type="spellStart"/>
      <w:r w:rsidR="00032C0E" w:rsidRPr="00973153">
        <w:rPr>
          <w:lang w:val="en-US"/>
        </w:rPr>
        <w:t>transparantie</w:t>
      </w:r>
      <w:bookmarkEnd w:id="29"/>
      <w:proofErr w:type="spellEnd"/>
    </w:p>
    <w:p w14:paraId="3D10B5A9" w14:textId="54DAADCA" w:rsidR="00D31E6D" w:rsidRDefault="00D31E6D" w:rsidP="00D31E6D">
      <w:pPr>
        <w:rPr>
          <w:color w:val="000000"/>
        </w:rPr>
      </w:pPr>
      <w:r w:rsidRPr="00F22BF8">
        <w:rPr>
          <w:color w:val="000000"/>
        </w:rPr>
        <w:t>E</w:t>
      </w:r>
      <w:r>
        <w:rPr>
          <w:color w:val="000000"/>
        </w:rPr>
        <w:t xml:space="preserve">én van de directe resultaten van het door de </w:t>
      </w:r>
      <w:proofErr w:type="spellStart"/>
      <w:r>
        <w:rPr>
          <w:i/>
          <w:color w:val="000000"/>
        </w:rPr>
        <w:t>Functional</w:t>
      </w:r>
      <w:proofErr w:type="spellEnd"/>
      <w:r>
        <w:rPr>
          <w:i/>
          <w:color w:val="000000"/>
        </w:rPr>
        <w:t xml:space="preserve"> </w:t>
      </w:r>
      <w:r w:rsidRPr="00F22BF8">
        <w:rPr>
          <w:i/>
          <w:color w:val="000000"/>
        </w:rPr>
        <w:t>Review</w:t>
      </w:r>
      <w:r>
        <w:rPr>
          <w:color w:val="000000"/>
        </w:rPr>
        <w:t xml:space="preserve"> in gang gezette hervormingsproces is dat een nieuw resultatenraamwerk wordt ontwikkeld</w:t>
      </w:r>
      <w:r w:rsidR="001626C6">
        <w:rPr>
          <w:color w:val="000000"/>
        </w:rPr>
        <w:t xml:space="preserve"> dat in lijn is met het nie</w:t>
      </w:r>
      <w:r w:rsidR="00CC6BEA">
        <w:rPr>
          <w:color w:val="000000"/>
        </w:rPr>
        <w:t>uwe strategisch plan (2018-2021</w:t>
      </w:r>
      <w:r w:rsidR="001626C6">
        <w:rPr>
          <w:color w:val="000000"/>
        </w:rPr>
        <w:t>)</w:t>
      </w:r>
      <w:r>
        <w:rPr>
          <w:color w:val="000000"/>
        </w:rPr>
        <w:t xml:space="preserve">. Formeel heeft OCHA een resultatenraamwerk dat moet bijdragen aan een </w:t>
      </w:r>
      <w:proofErr w:type="spellStart"/>
      <w:r>
        <w:rPr>
          <w:i/>
          <w:color w:val="000000"/>
        </w:rPr>
        <w:t>Result</w:t>
      </w:r>
      <w:proofErr w:type="spellEnd"/>
      <w:r>
        <w:rPr>
          <w:i/>
          <w:color w:val="000000"/>
        </w:rPr>
        <w:t xml:space="preserve"> </w:t>
      </w:r>
      <w:proofErr w:type="spellStart"/>
      <w:r>
        <w:rPr>
          <w:i/>
          <w:color w:val="000000"/>
        </w:rPr>
        <w:t>Based</w:t>
      </w:r>
      <w:proofErr w:type="spellEnd"/>
      <w:r>
        <w:rPr>
          <w:i/>
          <w:color w:val="000000"/>
        </w:rPr>
        <w:t xml:space="preserve"> M</w:t>
      </w:r>
      <w:r w:rsidRPr="00E41FCE">
        <w:rPr>
          <w:i/>
          <w:color w:val="000000"/>
        </w:rPr>
        <w:t>anagement</w:t>
      </w:r>
      <w:r w:rsidRPr="00E41FCE">
        <w:rPr>
          <w:color w:val="000000"/>
        </w:rPr>
        <w:t xml:space="preserve"> </w:t>
      </w:r>
      <w:r w:rsidRPr="00FB0DED">
        <w:rPr>
          <w:i/>
          <w:color w:val="000000"/>
        </w:rPr>
        <w:t>(RBM)</w:t>
      </w:r>
      <w:r>
        <w:rPr>
          <w:color w:val="000000"/>
        </w:rPr>
        <w:t xml:space="preserve"> </w:t>
      </w:r>
      <w:r w:rsidRPr="00E41FCE">
        <w:rPr>
          <w:color w:val="000000"/>
        </w:rPr>
        <w:t>benadering</w:t>
      </w:r>
      <w:r>
        <w:rPr>
          <w:color w:val="000000"/>
        </w:rPr>
        <w:t>, maar dit functioneert nog onvoldoende</w:t>
      </w:r>
      <w:r w:rsidR="00F56DE6">
        <w:rPr>
          <w:color w:val="000000"/>
        </w:rPr>
        <w:t>. H</w:t>
      </w:r>
      <w:r w:rsidR="00AD3049">
        <w:rPr>
          <w:color w:val="000000"/>
        </w:rPr>
        <w:t>et ontbreekt aan daadwerkelijke verantwoording op resultaten en aan terugkoppeling van resultaten in het planningsproces</w:t>
      </w:r>
      <w:r w:rsidR="001626C6">
        <w:rPr>
          <w:color w:val="000000"/>
        </w:rPr>
        <w:t>. A</w:t>
      </w:r>
      <w:r w:rsidR="00AD3049">
        <w:rPr>
          <w:color w:val="000000"/>
        </w:rPr>
        <w:t>anpassing van interventies vindt vooral plaats op basis van veranderende noden in plaats van resultatenrapportages</w:t>
      </w:r>
      <w:r>
        <w:rPr>
          <w:color w:val="000000"/>
        </w:rPr>
        <w:t>. Derhalve</w:t>
      </w:r>
      <w:r w:rsidRPr="00E41FCE">
        <w:rPr>
          <w:color w:val="000000"/>
        </w:rPr>
        <w:t xml:space="preserve"> </w:t>
      </w:r>
      <w:r>
        <w:rPr>
          <w:color w:val="000000"/>
        </w:rPr>
        <w:t>zal de komende tijd gewerkt worden aan een nieuw kader. Van belang is dat het financieel raamwerk gekoppeld wordt aan het bredere resultatenraamwerk.</w:t>
      </w:r>
    </w:p>
    <w:p w14:paraId="3D10B5AA" w14:textId="77777777" w:rsidR="00D31E6D" w:rsidRDefault="00D31E6D" w:rsidP="00D31E6D">
      <w:pPr>
        <w:rPr>
          <w:color w:val="000000"/>
        </w:rPr>
      </w:pPr>
    </w:p>
    <w:p w14:paraId="3D10B5AC" w14:textId="06F952BF" w:rsidR="00896454" w:rsidRDefault="00AD3049" w:rsidP="00B45C9E">
      <w:pPr>
        <w:autoSpaceDE w:val="0"/>
        <w:autoSpaceDN w:val="0"/>
        <w:adjustRightInd w:val="0"/>
        <w:spacing w:line="240" w:lineRule="auto"/>
        <w:rPr>
          <w:color w:val="000000"/>
        </w:rPr>
      </w:pPr>
      <w:r>
        <w:rPr>
          <w:color w:val="000000"/>
        </w:rPr>
        <w:t xml:space="preserve">Wel brengen de verschillende evaluaties van OCHA aan het licht dat het ontbreken van een goed functionerend resultatenraamwerk </w:t>
      </w:r>
      <w:r w:rsidR="008600BE">
        <w:rPr>
          <w:color w:val="000000"/>
        </w:rPr>
        <w:t>geen gevolgen heeft voor rapportage</w:t>
      </w:r>
      <w:r>
        <w:rPr>
          <w:color w:val="000000"/>
        </w:rPr>
        <w:t xml:space="preserve"> over resultaten. Geconcludeerd wordt dat</w:t>
      </w:r>
      <w:r w:rsidR="00D31E6D">
        <w:rPr>
          <w:color w:val="000000"/>
        </w:rPr>
        <w:t xml:space="preserve"> OCHA duidelijke, relevante resultaten boekt: beschikbare evaluaties tonen de meerwaarde aan van OCHA en laten positieve resultaten zien die bijdragen aan </w:t>
      </w:r>
      <w:proofErr w:type="spellStart"/>
      <w:r w:rsidR="00D31E6D">
        <w:rPr>
          <w:color w:val="000000"/>
        </w:rPr>
        <w:t>OCHA’s</w:t>
      </w:r>
      <w:proofErr w:type="spellEnd"/>
      <w:r w:rsidR="00D31E6D">
        <w:rPr>
          <w:color w:val="000000"/>
        </w:rPr>
        <w:t xml:space="preserve"> doelen, met name waar het gaat om de coördinerende rol in de humanitaire sector</w:t>
      </w:r>
      <w:r w:rsidR="00F42AA7">
        <w:rPr>
          <w:color w:val="000000"/>
        </w:rPr>
        <w:t xml:space="preserve"> (waarbij het belang van OCHA onomstreden is)</w:t>
      </w:r>
      <w:r w:rsidR="00D31E6D">
        <w:rPr>
          <w:color w:val="000000"/>
        </w:rPr>
        <w:t xml:space="preserve">, beleidsontwikkeling en normstelling, </w:t>
      </w:r>
      <w:proofErr w:type="spellStart"/>
      <w:r w:rsidR="008600BE" w:rsidRPr="008600BE">
        <w:rPr>
          <w:i/>
          <w:color w:val="000000"/>
        </w:rPr>
        <w:t>advocacy</w:t>
      </w:r>
      <w:proofErr w:type="spellEnd"/>
      <w:r w:rsidR="008600BE" w:rsidRPr="008600BE">
        <w:rPr>
          <w:color w:val="000000"/>
        </w:rPr>
        <w:t xml:space="preserve"> </w:t>
      </w:r>
      <w:r w:rsidR="008600BE">
        <w:rPr>
          <w:color w:val="000000"/>
        </w:rPr>
        <w:t>richting</w:t>
      </w:r>
      <w:r w:rsidR="00D31E6D">
        <w:rPr>
          <w:color w:val="000000"/>
        </w:rPr>
        <w:t xml:space="preserve"> Veiligheidsraad </w:t>
      </w:r>
      <w:r w:rsidR="007A76A0">
        <w:rPr>
          <w:color w:val="000000"/>
        </w:rPr>
        <w:t>en individuele l</w:t>
      </w:r>
      <w:r w:rsidR="008600BE">
        <w:rPr>
          <w:color w:val="000000"/>
        </w:rPr>
        <w:t>anden</w:t>
      </w:r>
      <w:r w:rsidR="00D31E6D">
        <w:rPr>
          <w:color w:val="000000"/>
        </w:rPr>
        <w:t>, fondsenwerving, coördinatie van civiel-militaire inzet, strategische planning</w:t>
      </w:r>
      <w:r w:rsidR="007A76A0">
        <w:rPr>
          <w:color w:val="000000"/>
        </w:rPr>
        <w:t xml:space="preserve"> en</w:t>
      </w:r>
      <w:r w:rsidR="00D31E6D">
        <w:rPr>
          <w:color w:val="000000"/>
        </w:rPr>
        <w:t xml:space="preserve"> behoeftebepaling. Gezien het feit dat </w:t>
      </w:r>
      <w:proofErr w:type="spellStart"/>
      <w:r w:rsidR="00D31E6D">
        <w:rPr>
          <w:color w:val="000000"/>
        </w:rPr>
        <w:t>OCHA’s</w:t>
      </w:r>
      <w:proofErr w:type="spellEnd"/>
      <w:r w:rsidR="00D31E6D">
        <w:rPr>
          <w:color w:val="000000"/>
        </w:rPr>
        <w:t xml:space="preserve"> kernfuncties liggen op het bedienen van de humanitaire sector en niet in de directe levering van diensten aan mensen in nood, is het niet goed mogelijk </w:t>
      </w:r>
      <w:r w:rsidR="008600BE">
        <w:rPr>
          <w:color w:val="000000"/>
        </w:rPr>
        <w:t xml:space="preserve">directe </w:t>
      </w:r>
      <w:r w:rsidR="00D31E6D">
        <w:rPr>
          <w:color w:val="000000"/>
        </w:rPr>
        <w:t>resu</w:t>
      </w:r>
      <w:r w:rsidR="008600BE">
        <w:rPr>
          <w:color w:val="000000"/>
        </w:rPr>
        <w:t>ltaten aan te geven voor</w:t>
      </w:r>
      <w:r w:rsidR="00D31E6D">
        <w:rPr>
          <w:color w:val="000000"/>
        </w:rPr>
        <w:t xml:space="preserve"> hulpbehoevenden/begunstigden.</w:t>
      </w:r>
      <w:r w:rsidR="008600BE">
        <w:rPr>
          <w:color w:val="000000"/>
        </w:rPr>
        <w:t xml:space="preserve"> </w:t>
      </w:r>
      <w:r w:rsidR="001626C6" w:rsidRPr="00CD556D">
        <w:rPr>
          <w:rFonts w:eastAsia="Calibri" w:cs="Verdana"/>
          <w:szCs w:val="18"/>
          <w:lang w:eastAsia="en-US"/>
        </w:rPr>
        <w:t xml:space="preserve">Het </w:t>
      </w:r>
      <w:proofErr w:type="spellStart"/>
      <w:r w:rsidR="001626C6" w:rsidRPr="00CD556D">
        <w:rPr>
          <w:rFonts w:eastAsia="Calibri" w:cs="Verdana"/>
          <w:i/>
          <w:iCs/>
          <w:szCs w:val="18"/>
          <w:lang w:eastAsia="en-US"/>
        </w:rPr>
        <w:t>Annual</w:t>
      </w:r>
      <w:proofErr w:type="spellEnd"/>
      <w:r w:rsidR="001626C6" w:rsidRPr="00CD556D">
        <w:rPr>
          <w:rFonts w:eastAsia="Calibri" w:cs="Verdana"/>
          <w:i/>
          <w:iCs/>
          <w:szCs w:val="18"/>
          <w:lang w:eastAsia="en-US"/>
        </w:rPr>
        <w:t xml:space="preserve"> Report </w:t>
      </w:r>
      <w:r w:rsidR="001626C6" w:rsidRPr="00CD556D">
        <w:rPr>
          <w:rFonts w:eastAsia="Calibri" w:cs="Verdana"/>
          <w:szCs w:val="18"/>
          <w:lang w:eastAsia="en-US"/>
        </w:rPr>
        <w:t>is de voo</w:t>
      </w:r>
      <w:r w:rsidR="001626C6">
        <w:rPr>
          <w:rFonts w:eastAsia="Calibri" w:cs="Verdana"/>
          <w:szCs w:val="18"/>
          <w:lang w:eastAsia="en-US"/>
        </w:rPr>
        <w:t xml:space="preserve">rnaamste verslaglegging aan de </w:t>
      </w:r>
      <w:r w:rsidR="001626C6" w:rsidRPr="00CD556D">
        <w:rPr>
          <w:rFonts w:eastAsia="Calibri" w:cs="Verdana"/>
          <w:szCs w:val="18"/>
          <w:lang w:eastAsia="en-US"/>
        </w:rPr>
        <w:t>donoren van de activiteiten van OCHA. Dit bevat informatie over de financiering van OCHA en op welke manier en aan welke activiteiten de fondsen zijn uitgegeven.</w:t>
      </w:r>
      <w:r w:rsidR="001626C6">
        <w:rPr>
          <w:rFonts w:eastAsia="Calibri" w:cs="Verdana"/>
          <w:szCs w:val="18"/>
          <w:lang w:eastAsia="en-US"/>
        </w:rPr>
        <w:t xml:space="preserve"> </w:t>
      </w:r>
      <w:r w:rsidR="008600BE">
        <w:rPr>
          <w:color w:val="000000"/>
        </w:rPr>
        <w:t>E</w:t>
      </w:r>
      <w:r w:rsidR="002878EE">
        <w:rPr>
          <w:color w:val="000000"/>
        </w:rPr>
        <w:t>chter</w:t>
      </w:r>
      <w:r w:rsidR="008600BE">
        <w:rPr>
          <w:color w:val="000000"/>
        </w:rPr>
        <w:t>,</w:t>
      </w:r>
      <w:r w:rsidR="002878EE">
        <w:rPr>
          <w:color w:val="000000"/>
        </w:rPr>
        <w:t xml:space="preserve"> </w:t>
      </w:r>
      <w:r w:rsidR="00EC556D">
        <w:rPr>
          <w:color w:val="000000"/>
        </w:rPr>
        <w:t xml:space="preserve">systematische </w:t>
      </w:r>
      <w:r w:rsidR="002878EE">
        <w:rPr>
          <w:color w:val="000000"/>
        </w:rPr>
        <w:t>rapportage</w:t>
      </w:r>
      <w:r>
        <w:rPr>
          <w:color w:val="000000"/>
        </w:rPr>
        <w:t xml:space="preserve"> over prestaties en het </w:t>
      </w:r>
      <w:r w:rsidR="007A76A0">
        <w:rPr>
          <w:color w:val="000000"/>
        </w:rPr>
        <w:t>algehele</w:t>
      </w:r>
      <w:r>
        <w:rPr>
          <w:color w:val="000000"/>
        </w:rPr>
        <w:t xml:space="preserve"> functioneren van OCHA</w:t>
      </w:r>
      <w:r w:rsidR="002878EE">
        <w:rPr>
          <w:color w:val="000000"/>
        </w:rPr>
        <w:t xml:space="preserve"> vindt op onregelmatige basis plaats</w:t>
      </w:r>
      <w:r>
        <w:rPr>
          <w:color w:val="000000"/>
        </w:rPr>
        <w:t>.</w:t>
      </w:r>
    </w:p>
    <w:p w14:paraId="3D10B5AD" w14:textId="77777777" w:rsidR="0038028B" w:rsidRDefault="0038028B" w:rsidP="0038028B">
      <w:pPr>
        <w:rPr>
          <w:color w:val="000000"/>
        </w:rPr>
      </w:pPr>
    </w:p>
    <w:p w14:paraId="3D10B5AE" w14:textId="720A6C2C" w:rsidR="0038028B" w:rsidRDefault="0038028B" w:rsidP="0038028B">
      <w:pPr>
        <w:rPr>
          <w:color w:val="000000"/>
        </w:rPr>
      </w:pPr>
      <w:r>
        <w:rPr>
          <w:color w:val="000000"/>
        </w:rPr>
        <w:t xml:space="preserve">Voor de </w:t>
      </w:r>
      <w:proofErr w:type="spellStart"/>
      <w:r>
        <w:rPr>
          <w:color w:val="000000"/>
        </w:rPr>
        <w:t>CBPF’s</w:t>
      </w:r>
      <w:proofErr w:type="spellEnd"/>
      <w:r>
        <w:rPr>
          <w:color w:val="000000"/>
        </w:rPr>
        <w:t xml:space="preserve"> wordt op dit moment een </w:t>
      </w:r>
      <w:r w:rsidR="00501C53" w:rsidRPr="00B45C9E">
        <w:rPr>
          <w:i/>
          <w:color w:val="000000"/>
        </w:rPr>
        <w:t xml:space="preserve">Common Performance Framework </w:t>
      </w:r>
      <w:r>
        <w:rPr>
          <w:color w:val="000000"/>
        </w:rPr>
        <w:t xml:space="preserve">uitgewerkt, waarin resultaten </w:t>
      </w:r>
      <w:r w:rsidR="00B45C9E">
        <w:rPr>
          <w:color w:val="000000"/>
        </w:rPr>
        <w:t>(</w:t>
      </w:r>
      <w:r>
        <w:rPr>
          <w:color w:val="000000"/>
        </w:rPr>
        <w:t xml:space="preserve">op het niveau van het fonds, niet op het niveau van de doelgroep) en de relatie met het gevoerde beheer van het fonds gemeten zullen worden. Dit dient OCHA (en de donoren) in staat te stellen scherper toe te zien op het functioneren van de </w:t>
      </w:r>
      <w:proofErr w:type="spellStart"/>
      <w:r>
        <w:rPr>
          <w:color w:val="000000"/>
        </w:rPr>
        <w:t>CBPF’s</w:t>
      </w:r>
      <w:proofErr w:type="spellEnd"/>
      <w:r>
        <w:rPr>
          <w:color w:val="000000"/>
        </w:rPr>
        <w:t xml:space="preserve"> en te reageren op de uitkomsten, mits er een goede </w:t>
      </w:r>
      <w:r w:rsidRPr="007B1AB7">
        <w:rPr>
          <w:i/>
          <w:color w:val="000000"/>
        </w:rPr>
        <w:t>feedback loop</w:t>
      </w:r>
      <w:r>
        <w:rPr>
          <w:color w:val="000000"/>
        </w:rPr>
        <w:t xml:space="preserve"> ontwikkeld wordt.</w:t>
      </w:r>
    </w:p>
    <w:p w14:paraId="3D10B5AF" w14:textId="77777777" w:rsidR="00D31E6D" w:rsidRPr="00E41FCE" w:rsidRDefault="00D31E6D" w:rsidP="00D31E6D">
      <w:pPr>
        <w:rPr>
          <w:color w:val="000000"/>
        </w:rPr>
      </w:pPr>
    </w:p>
    <w:p w14:paraId="3D10B5B0" w14:textId="077D9862" w:rsidR="00D31E6D" w:rsidRPr="00E41FCE" w:rsidRDefault="00D31E6D" w:rsidP="00D31E6D">
      <w:pPr>
        <w:rPr>
          <w:color w:val="000000"/>
        </w:rPr>
      </w:pPr>
      <w:r w:rsidRPr="00E41FCE">
        <w:rPr>
          <w:color w:val="000000"/>
        </w:rPr>
        <w:t xml:space="preserve">OCHA publiceert al </w:t>
      </w:r>
      <w:r w:rsidR="00594BEA">
        <w:rPr>
          <w:color w:val="000000"/>
        </w:rPr>
        <w:t>geruime tijd</w:t>
      </w:r>
      <w:r w:rsidRPr="00E41FCE">
        <w:rPr>
          <w:color w:val="000000"/>
        </w:rPr>
        <w:t xml:space="preserve"> data over de financiering van internationale humanitaire hulp via </w:t>
      </w:r>
      <w:r w:rsidR="0082114C">
        <w:rPr>
          <w:color w:val="000000"/>
        </w:rPr>
        <w:t xml:space="preserve">het online platform </w:t>
      </w:r>
      <w:r w:rsidRPr="00E41FCE">
        <w:rPr>
          <w:i/>
          <w:color w:val="000000"/>
        </w:rPr>
        <w:t>Financial Tracking Service</w:t>
      </w:r>
      <w:r w:rsidRPr="00E41FCE">
        <w:rPr>
          <w:color w:val="000000"/>
        </w:rPr>
        <w:t xml:space="preserve">. Sinds 2013 </w:t>
      </w:r>
      <w:r>
        <w:rPr>
          <w:color w:val="000000"/>
        </w:rPr>
        <w:t>registreert</w:t>
      </w:r>
      <w:r w:rsidRPr="00E41FCE">
        <w:rPr>
          <w:color w:val="000000"/>
        </w:rPr>
        <w:t xml:space="preserve"> de organisatie</w:t>
      </w:r>
      <w:r>
        <w:rPr>
          <w:color w:val="000000"/>
        </w:rPr>
        <w:t xml:space="preserve"> ook via</w:t>
      </w:r>
      <w:r w:rsidRPr="00E41FCE">
        <w:rPr>
          <w:color w:val="000000"/>
        </w:rPr>
        <w:t xml:space="preserve"> het</w:t>
      </w:r>
      <w:r w:rsidR="0082114C">
        <w:rPr>
          <w:color w:val="000000"/>
        </w:rPr>
        <w:t xml:space="preserve"> open data platform</w:t>
      </w:r>
      <w:r w:rsidRPr="00E41FCE">
        <w:rPr>
          <w:color w:val="000000"/>
        </w:rPr>
        <w:t xml:space="preserve"> </w:t>
      </w:r>
      <w:r w:rsidRPr="00E41FCE">
        <w:rPr>
          <w:i/>
          <w:color w:val="000000"/>
        </w:rPr>
        <w:t xml:space="preserve">International </w:t>
      </w:r>
      <w:proofErr w:type="spellStart"/>
      <w:r w:rsidRPr="00E41FCE">
        <w:rPr>
          <w:i/>
          <w:color w:val="000000"/>
        </w:rPr>
        <w:t>Aid</w:t>
      </w:r>
      <w:proofErr w:type="spellEnd"/>
      <w:r w:rsidRPr="00E41FCE">
        <w:rPr>
          <w:i/>
          <w:color w:val="000000"/>
        </w:rPr>
        <w:t xml:space="preserve"> </w:t>
      </w:r>
      <w:proofErr w:type="spellStart"/>
      <w:r w:rsidRPr="00E41FCE">
        <w:rPr>
          <w:i/>
          <w:color w:val="000000"/>
        </w:rPr>
        <w:t>Transparency</w:t>
      </w:r>
      <w:proofErr w:type="spellEnd"/>
      <w:r w:rsidRPr="00E41FCE">
        <w:rPr>
          <w:i/>
          <w:color w:val="000000"/>
        </w:rPr>
        <w:t xml:space="preserve"> </w:t>
      </w:r>
      <w:proofErr w:type="spellStart"/>
      <w:r w:rsidRPr="00E41FCE">
        <w:rPr>
          <w:i/>
          <w:color w:val="000000"/>
        </w:rPr>
        <w:t>Initiative</w:t>
      </w:r>
      <w:proofErr w:type="spellEnd"/>
      <w:r w:rsidRPr="00E41FCE">
        <w:rPr>
          <w:color w:val="000000"/>
        </w:rPr>
        <w:t xml:space="preserve"> (IATI). OCHA</w:t>
      </w:r>
      <w:r>
        <w:rPr>
          <w:color w:val="000000"/>
        </w:rPr>
        <w:t xml:space="preserve"> heeft zich verplicht transparant, open en accuraat over zijn data te rapporteren, o.a. via IATI, maar </w:t>
      </w:r>
      <w:r w:rsidR="00AD3049">
        <w:rPr>
          <w:color w:val="000000"/>
        </w:rPr>
        <w:t>dit is nog onvoldoende verankerd in de organisatie</w:t>
      </w:r>
      <w:r>
        <w:rPr>
          <w:color w:val="000000"/>
        </w:rPr>
        <w:t xml:space="preserve">. </w:t>
      </w:r>
      <w:r w:rsidR="00AD3049">
        <w:rPr>
          <w:color w:val="000000"/>
        </w:rPr>
        <w:t>Zo wordt i</w:t>
      </w:r>
      <w:r>
        <w:rPr>
          <w:color w:val="000000"/>
        </w:rPr>
        <w:t>n IATI</w:t>
      </w:r>
      <w:r w:rsidR="00AD3049">
        <w:rPr>
          <w:color w:val="000000"/>
        </w:rPr>
        <w:t xml:space="preserve"> nog</w:t>
      </w:r>
      <w:r>
        <w:rPr>
          <w:color w:val="000000"/>
        </w:rPr>
        <w:t xml:space="preserve"> niet gerapporteerd op resultaten.</w:t>
      </w:r>
      <w:r w:rsidR="00B1581D">
        <w:rPr>
          <w:color w:val="000000"/>
        </w:rPr>
        <w:t xml:space="preserve"> </w:t>
      </w:r>
      <w:r w:rsidR="00B1581D">
        <w:rPr>
          <w:color w:val="000000"/>
        </w:rPr>
        <w:lastRenderedPageBreak/>
        <w:t>Met OCHA zijn afspraken gemaakt (o.a. in het kader van het Datacentrum) dat OCHA het gebruik van IATI voor zowel financiële als inhoudelijke rapportages gaat stimuleren.</w:t>
      </w:r>
    </w:p>
    <w:p w14:paraId="3D10B5B2" w14:textId="77777777" w:rsidR="00E20A86" w:rsidRDefault="00E20A86"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E20A86" w:rsidRPr="00EA0AA8" w14:paraId="3D10B5B5" w14:textId="77777777" w:rsidTr="00B06CE6">
        <w:tc>
          <w:tcPr>
            <w:tcW w:w="6912" w:type="dxa"/>
            <w:tcBorders>
              <w:top w:val="single" w:sz="12" w:space="0" w:color="auto"/>
              <w:left w:val="single" w:sz="12" w:space="0" w:color="auto"/>
              <w:bottom w:val="single" w:sz="12" w:space="0" w:color="auto"/>
            </w:tcBorders>
            <w:shd w:val="clear" w:color="auto" w:fill="D0CECE"/>
          </w:tcPr>
          <w:p w14:paraId="3D10B5B3" w14:textId="77777777" w:rsidR="00E20A86" w:rsidRPr="00EA0AA8" w:rsidRDefault="00E20A86"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5B4" w14:textId="77777777" w:rsidR="00E20A86" w:rsidRPr="00EA0AA8" w:rsidRDefault="00E20A86" w:rsidP="00382AE3">
            <w:pPr>
              <w:rPr>
                <w:b/>
              </w:rPr>
            </w:pPr>
            <w:r w:rsidRPr="00EA0AA8">
              <w:rPr>
                <w:b/>
              </w:rPr>
              <w:t>Score</w:t>
            </w:r>
          </w:p>
        </w:tc>
      </w:tr>
      <w:tr w:rsidR="00E20A86" w14:paraId="3D10B5B8" w14:textId="77777777" w:rsidTr="00382AE3">
        <w:tc>
          <w:tcPr>
            <w:tcW w:w="6912" w:type="dxa"/>
            <w:tcBorders>
              <w:top w:val="single" w:sz="12" w:space="0" w:color="auto"/>
              <w:left w:val="single" w:sz="12" w:space="0" w:color="auto"/>
            </w:tcBorders>
            <w:shd w:val="clear" w:color="auto" w:fill="auto"/>
          </w:tcPr>
          <w:p w14:paraId="3D10B5B6" w14:textId="77777777" w:rsidR="00E20A86" w:rsidRDefault="00E20A86" w:rsidP="00382AE3">
            <w:r>
              <w:t>RBM en RBB</w:t>
            </w:r>
          </w:p>
        </w:tc>
        <w:tc>
          <w:tcPr>
            <w:tcW w:w="955" w:type="dxa"/>
            <w:tcBorders>
              <w:top w:val="single" w:sz="12" w:space="0" w:color="auto"/>
              <w:right w:val="single" w:sz="12" w:space="0" w:color="auto"/>
            </w:tcBorders>
            <w:shd w:val="clear" w:color="auto" w:fill="auto"/>
          </w:tcPr>
          <w:p w14:paraId="3D10B5B7" w14:textId="77777777" w:rsidR="00E20A86" w:rsidRDefault="00AD3049" w:rsidP="00382AE3">
            <w:r>
              <w:t>2</w:t>
            </w:r>
          </w:p>
        </w:tc>
      </w:tr>
      <w:tr w:rsidR="00E20A86" w14:paraId="3D10B5BB" w14:textId="77777777" w:rsidTr="00382AE3">
        <w:tc>
          <w:tcPr>
            <w:tcW w:w="6912" w:type="dxa"/>
            <w:tcBorders>
              <w:left w:val="single" w:sz="12" w:space="0" w:color="auto"/>
            </w:tcBorders>
            <w:shd w:val="clear" w:color="auto" w:fill="auto"/>
          </w:tcPr>
          <w:p w14:paraId="3D10B5B9" w14:textId="77777777" w:rsidR="00E20A86" w:rsidRDefault="00E20A86" w:rsidP="00382AE3">
            <w:r>
              <w:t>Inzichtelijk maken resultaten</w:t>
            </w:r>
          </w:p>
        </w:tc>
        <w:tc>
          <w:tcPr>
            <w:tcW w:w="955" w:type="dxa"/>
            <w:tcBorders>
              <w:right w:val="single" w:sz="12" w:space="0" w:color="auto"/>
            </w:tcBorders>
            <w:shd w:val="clear" w:color="auto" w:fill="auto"/>
          </w:tcPr>
          <w:p w14:paraId="3D10B5BA" w14:textId="77777777" w:rsidR="00E20A86" w:rsidRDefault="00AD3049" w:rsidP="00382AE3">
            <w:r>
              <w:t>2</w:t>
            </w:r>
          </w:p>
        </w:tc>
      </w:tr>
      <w:tr w:rsidR="00E20A86" w14:paraId="3D10B5BE" w14:textId="77777777" w:rsidTr="00382AE3">
        <w:tc>
          <w:tcPr>
            <w:tcW w:w="6912" w:type="dxa"/>
            <w:tcBorders>
              <w:left w:val="single" w:sz="12" w:space="0" w:color="auto"/>
            </w:tcBorders>
            <w:shd w:val="clear" w:color="auto" w:fill="auto"/>
          </w:tcPr>
          <w:p w14:paraId="3D10B5BC" w14:textId="77777777" w:rsidR="00E20A86" w:rsidRDefault="00E20A86" w:rsidP="00382AE3">
            <w:r>
              <w:t>Inzichtelijk maken allocatie van middelen (o.a. IATI)</w:t>
            </w:r>
          </w:p>
        </w:tc>
        <w:tc>
          <w:tcPr>
            <w:tcW w:w="955" w:type="dxa"/>
            <w:tcBorders>
              <w:right w:val="single" w:sz="12" w:space="0" w:color="auto"/>
            </w:tcBorders>
            <w:shd w:val="clear" w:color="auto" w:fill="auto"/>
          </w:tcPr>
          <w:p w14:paraId="3D10B5BD" w14:textId="77777777" w:rsidR="00E20A86" w:rsidRDefault="00AD3049" w:rsidP="00382AE3">
            <w:r>
              <w:t>3</w:t>
            </w:r>
          </w:p>
        </w:tc>
      </w:tr>
      <w:tr w:rsidR="00E20A86" w14:paraId="3D10B5C1" w14:textId="77777777" w:rsidTr="00382AE3">
        <w:tc>
          <w:tcPr>
            <w:tcW w:w="6912" w:type="dxa"/>
            <w:tcBorders>
              <w:left w:val="single" w:sz="12" w:space="0" w:color="auto"/>
              <w:bottom w:val="single" w:sz="12" w:space="0" w:color="auto"/>
            </w:tcBorders>
            <w:shd w:val="clear" w:color="auto" w:fill="auto"/>
          </w:tcPr>
          <w:p w14:paraId="3D10B5BF" w14:textId="77777777" w:rsidR="00E20A86" w:rsidRDefault="00E20A86" w:rsidP="00382AE3">
            <w:r>
              <w:t>Communicatie over resultaten</w:t>
            </w:r>
          </w:p>
        </w:tc>
        <w:tc>
          <w:tcPr>
            <w:tcW w:w="955" w:type="dxa"/>
            <w:tcBorders>
              <w:bottom w:val="single" w:sz="12" w:space="0" w:color="auto"/>
              <w:right w:val="single" w:sz="12" w:space="0" w:color="auto"/>
            </w:tcBorders>
            <w:shd w:val="clear" w:color="auto" w:fill="auto"/>
          </w:tcPr>
          <w:p w14:paraId="3D10B5C0" w14:textId="77777777" w:rsidR="00E20A86" w:rsidRDefault="00AD3049" w:rsidP="00382AE3">
            <w:r>
              <w:t>2</w:t>
            </w:r>
          </w:p>
        </w:tc>
      </w:tr>
      <w:tr w:rsidR="00E20A86" w:rsidRPr="00EA0AA8" w14:paraId="3D10B5C4" w14:textId="77777777" w:rsidTr="00B06CE6">
        <w:tc>
          <w:tcPr>
            <w:tcW w:w="6912" w:type="dxa"/>
            <w:tcBorders>
              <w:top w:val="single" w:sz="12" w:space="0" w:color="auto"/>
              <w:left w:val="single" w:sz="12" w:space="0" w:color="auto"/>
              <w:bottom w:val="single" w:sz="12" w:space="0" w:color="auto"/>
            </w:tcBorders>
            <w:shd w:val="clear" w:color="auto" w:fill="D0CECE"/>
          </w:tcPr>
          <w:p w14:paraId="3D10B5C2" w14:textId="77777777" w:rsidR="00E20A86" w:rsidRPr="00EA0AA8" w:rsidRDefault="00E20A86"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5C3" w14:textId="77777777" w:rsidR="00E20A86" w:rsidRPr="00EA0AA8" w:rsidRDefault="00AD3049" w:rsidP="00382AE3">
            <w:pPr>
              <w:rPr>
                <w:b/>
              </w:rPr>
            </w:pPr>
            <w:r>
              <w:rPr>
                <w:b/>
              </w:rPr>
              <w:t>2</w:t>
            </w:r>
          </w:p>
        </w:tc>
      </w:tr>
    </w:tbl>
    <w:p w14:paraId="09531BA6" w14:textId="77777777" w:rsidR="00633895" w:rsidRDefault="00633895" w:rsidP="00B54564"/>
    <w:p w14:paraId="3D10B5C5" w14:textId="4610B095" w:rsidR="00E20A86" w:rsidRDefault="00687998" w:rsidP="00633895">
      <w:pPr>
        <w:ind w:firstLine="227"/>
        <w:rPr>
          <w:b/>
        </w:rPr>
      </w:pPr>
      <w:r w:rsidRPr="00193994">
        <w:t>Ver</w:t>
      </w:r>
      <w:r>
        <w:t>andering sinds 2015</w:t>
      </w:r>
      <w:r w:rsidR="003412ED">
        <w:t>: neutraal</w:t>
      </w:r>
      <w:r w:rsidR="003412ED" w:rsidRPr="00193994">
        <w:t xml:space="preserve"> = </w:t>
      </w:r>
      <w:r w:rsidR="003412ED" w:rsidRPr="00193994">
        <w:sym w:font="Wingdings" w:char="F0E8"/>
      </w:r>
    </w:p>
    <w:p w14:paraId="3D10B5C6" w14:textId="77777777" w:rsidR="00EA26EF" w:rsidRPr="00973153" w:rsidRDefault="00EA26EF" w:rsidP="00F74AC4"/>
    <w:p w14:paraId="3D10B5C7" w14:textId="391ABEBF" w:rsidR="00F366F4" w:rsidRPr="00973153" w:rsidRDefault="00633895" w:rsidP="00F366F4">
      <w:pPr>
        <w:pStyle w:val="Heading2"/>
        <w:numPr>
          <w:ilvl w:val="1"/>
          <w:numId w:val="20"/>
        </w:numPr>
        <w:tabs>
          <w:tab w:val="left" w:pos="-1162"/>
          <w:tab w:val="left" w:pos="0"/>
        </w:tabs>
        <w:spacing w:line="240" w:lineRule="auto"/>
        <w:rPr>
          <w:lang w:val="en-US"/>
        </w:rPr>
      </w:pPr>
      <w:r>
        <w:t xml:space="preserve">             </w:t>
      </w:r>
      <w:bookmarkStart w:id="30" w:name="_Toc491439705"/>
      <w:r w:rsidR="00F366F4" w:rsidRPr="00973153">
        <w:t>Partnerschappen</w:t>
      </w:r>
      <w:r w:rsidR="00422948" w:rsidRPr="00973153">
        <w:t xml:space="preserve"> en samenwerking</w:t>
      </w:r>
      <w:bookmarkEnd w:id="30"/>
    </w:p>
    <w:p w14:paraId="3D10B5C9" w14:textId="3785902C" w:rsidR="00227E4B" w:rsidRDefault="00227E4B" w:rsidP="00227E4B">
      <w:pPr>
        <w:autoSpaceDE w:val="0"/>
        <w:autoSpaceDN w:val="0"/>
        <w:adjustRightInd w:val="0"/>
        <w:spacing w:line="240" w:lineRule="auto"/>
        <w:rPr>
          <w:rFonts w:cs="Verdana"/>
          <w:szCs w:val="18"/>
        </w:rPr>
      </w:pPr>
      <w:r>
        <w:rPr>
          <w:rFonts w:cs="Verdana"/>
          <w:szCs w:val="18"/>
        </w:rPr>
        <w:t>OCHA neemt een centrale rol in bij de coördinatie van de</w:t>
      </w:r>
      <w:r w:rsidR="00560FB5">
        <w:rPr>
          <w:rFonts w:cs="Verdana"/>
          <w:szCs w:val="18"/>
        </w:rPr>
        <w:t xml:space="preserve"> </w:t>
      </w:r>
      <w:r>
        <w:rPr>
          <w:rFonts w:cs="Verdana"/>
          <w:szCs w:val="18"/>
        </w:rPr>
        <w:t xml:space="preserve">humanitaire activiteiten van </w:t>
      </w:r>
      <w:r w:rsidR="00350045">
        <w:rPr>
          <w:rFonts w:cs="Verdana"/>
          <w:szCs w:val="18"/>
        </w:rPr>
        <w:t xml:space="preserve">met name internationale en multilaterale </w:t>
      </w:r>
      <w:r>
        <w:rPr>
          <w:rFonts w:cs="Verdana"/>
          <w:szCs w:val="18"/>
        </w:rPr>
        <w:t>hulporganisaties. Beleidsmatig vindt op hoofdlijnen</w:t>
      </w:r>
      <w:r w:rsidR="00560FB5">
        <w:rPr>
          <w:rFonts w:cs="Verdana"/>
          <w:szCs w:val="18"/>
        </w:rPr>
        <w:t xml:space="preserve"> </w:t>
      </w:r>
      <w:r>
        <w:rPr>
          <w:rFonts w:cs="Verdana"/>
          <w:szCs w:val="18"/>
        </w:rPr>
        <w:t xml:space="preserve">samenwerking plaats via de </w:t>
      </w:r>
      <w:r w:rsidR="00560FB5">
        <w:rPr>
          <w:rFonts w:cs="Verdana"/>
          <w:szCs w:val="18"/>
        </w:rPr>
        <w:t>IASC</w:t>
      </w:r>
      <w:r>
        <w:rPr>
          <w:rFonts w:cs="Verdana"/>
          <w:szCs w:val="18"/>
        </w:rPr>
        <w:t xml:space="preserve"> en de </w:t>
      </w:r>
      <w:proofErr w:type="spellStart"/>
      <w:r>
        <w:rPr>
          <w:rFonts w:cs="Verdana"/>
          <w:szCs w:val="18"/>
        </w:rPr>
        <w:t>Emergency</w:t>
      </w:r>
      <w:proofErr w:type="spellEnd"/>
      <w:r>
        <w:rPr>
          <w:rFonts w:cs="Verdana"/>
          <w:szCs w:val="18"/>
        </w:rPr>
        <w:t xml:space="preserve"> Directors Group, die door OCHA worden </w:t>
      </w:r>
      <w:r w:rsidR="007A76A0">
        <w:rPr>
          <w:rFonts w:cs="Verdana"/>
          <w:szCs w:val="18"/>
        </w:rPr>
        <w:t>gefaciliteerd</w:t>
      </w:r>
      <w:r>
        <w:rPr>
          <w:rFonts w:cs="Verdana"/>
          <w:szCs w:val="18"/>
        </w:rPr>
        <w:t xml:space="preserve">, en waar naast humanitaire VN-instellingen ook </w:t>
      </w:r>
      <w:proofErr w:type="spellStart"/>
      <w:r w:rsidR="00D47B53">
        <w:rPr>
          <w:rFonts w:cs="Verdana"/>
          <w:szCs w:val="18"/>
        </w:rPr>
        <w:t>i</w:t>
      </w:r>
      <w:r>
        <w:rPr>
          <w:rFonts w:cs="Verdana"/>
          <w:szCs w:val="18"/>
        </w:rPr>
        <w:t>NGO’s</w:t>
      </w:r>
      <w:proofErr w:type="spellEnd"/>
      <w:r w:rsidR="00350045">
        <w:rPr>
          <w:rFonts w:cs="Verdana"/>
          <w:szCs w:val="18"/>
        </w:rPr>
        <w:t>, de Rode Kruis beweging en de Wereldbank</w:t>
      </w:r>
      <w:r w:rsidR="00D47B53">
        <w:rPr>
          <w:rFonts w:cs="Verdana"/>
          <w:szCs w:val="18"/>
        </w:rPr>
        <w:t xml:space="preserve"> </w:t>
      </w:r>
      <w:r>
        <w:rPr>
          <w:rFonts w:cs="Verdana"/>
          <w:szCs w:val="18"/>
        </w:rPr>
        <w:t xml:space="preserve">aan deelnemen. Samenwerking in het veld vindt plaats via humanitaire landenteams, </w:t>
      </w:r>
      <w:proofErr w:type="spellStart"/>
      <w:r>
        <w:rPr>
          <w:rFonts w:cs="Verdana"/>
          <w:szCs w:val="18"/>
        </w:rPr>
        <w:t>RHC</w:t>
      </w:r>
      <w:r w:rsidR="00AD6A8B">
        <w:rPr>
          <w:rFonts w:cs="Verdana"/>
          <w:szCs w:val="18"/>
        </w:rPr>
        <w:t>’</w:t>
      </w:r>
      <w:r>
        <w:rPr>
          <w:rFonts w:cs="Verdana"/>
          <w:szCs w:val="18"/>
        </w:rPr>
        <w:t>s</w:t>
      </w:r>
      <w:proofErr w:type="spellEnd"/>
      <w:r>
        <w:rPr>
          <w:rFonts w:cs="Verdana"/>
          <w:szCs w:val="18"/>
        </w:rPr>
        <w:t xml:space="preserve">, </w:t>
      </w:r>
      <w:proofErr w:type="spellStart"/>
      <w:r>
        <w:rPr>
          <w:rFonts w:cs="Verdana"/>
          <w:szCs w:val="18"/>
        </w:rPr>
        <w:t>HC</w:t>
      </w:r>
      <w:r w:rsidR="00AD6A8B">
        <w:rPr>
          <w:rFonts w:cs="Verdana"/>
          <w:szCs w:val="18"/>
        </w:rPr>
        <w:t>’</w:t>
      </w:r>
      <w:r>
        <w:rPr>
          <w:rFonts w:cs="Verdana"/>
          <w:szCs w:val="18"/>
        </w:rPr>
        <w:t>s</w:t>
      </w:r>
      <w:proofErr w:type="spellEnd"/>
      <w:r>
        <w:rPr>
          <w:rFonts w:cs="Verdana"/>
          <w:szCs w:val="18"/>
        </w:rPr>
        <w:t xml:space="preserve">, </w:t>
      </w:r>
      <w:proofErr w:type="spellStart"/>
      <w:r>
        <w:rPr>
          <w:rFonts w:cs="Verdana"/>
          <w:szCs w:val="18"/>
        </w:rPr>
        <w:t>inter</w:t>
      </w:r>
      <w:proofErr w:type="spellEnd"/>
      <w:r>
        <w:rPr>
          <w:rFonts w:cs="Verdana"/>
          <w:szCs w:val="18"/>
        </w:rPr>
        <w:t xml:space="preserve">- en </w:t>
      </w:r>
      <w:proofErr w:type="spellStart"/>
      <w:r w:rsidR="00560FB5">
        <w:rPr>
          <w:rFonts w:cs="Verdana"/>
          <w:szCs w:val="18"/>
        </w:rPr>
        <w:t>i</w:t>
      </w:r>
      <w:r>
        <w:rPr>
          <w:rFonts w:cs="Verdana"/>
          <w:szCs w:val="18"/>
        </w:rPr>
        <w:t>ntraclustersamenwerking</w:t>
      </w:r>
      <w:proofErr w:type="spellEnd"/>
      <w:r>
        <w:rPr>
          <w:rFonts w:cs="Verdana"/>
          <w:szCs w:val="18"/>
        </w:rPr>
        <w:t xml:space="preserve">. Via het </w:t>
      </w:r>
      <w:proofErr w:type="spellStart"/>
      <w:r>
        <w:rPr>
          <w:rFonts w:cs="Verdana"/>
          <w:i/>
          <w:iCs/>
          <w:szCs w:val="18"/>
        </w:rPr>
        <w:t>Consolidated</w:t>
      </w:r>
      <w:proofErr w:type="spellEnd"/>
      <w:r>
        <w:rPr>
          <w:rFonts w:cs="Verdana"/>
          <w:i/>
          <w:iCs/>
          <w:szCs w:val="18"/>
        </w:rPr>
        <w:t xml:space="preserve"> Appeal </w:t>
      </w:r>
      <w:proofErr w:type="spellStart"/>
      <w:r>
        <w:rPr>
          <w:rFonts w:cs="Verdana"/>
          <w:i/>
          <w:iCs/>
          <w:szCs w:val="18"/>
        </w:rPr>
        <w:t>Process</w:t>
      </w:r>
      <w:proofErr w:type="spellEnd"/>
      <w:r>
        <w:rPr>
          <w:rFonts w:cs="Verdana"/>
          <w:i/>
          <w:iCs/>
          <w:szCs w:val="18"/>
        </w:rPr>
        <w:t xml:space="preserve"> </w:t>
      </w:r>
      <w:r w:rsidR="001626C6">
        <w:rPr>
          <w:rFonts w:cs="Verdana"/>
          <w:i/>
          <w:iCs/>
          <w:szCs w:val="18"/>
        </w:rPr>
        <w:t xml:space="preserve">(CAP) </w:t>
      </w:r>
      <w:r w:rsidR="00C31651">
        <w:rPr>
          <w:rFonts w:cs="Verdana"/>
          <w:szCs w:val="18"/>
        </w:rPr>
        <w:t>beoogt</w:t>
      </w:r>
      <w:r>
        <w:rPr>
          <w:rFonts w:cs="Verdana"/>
          <w:szCs w:val="18"/>
        </w:rPr>
        <w:t xml:space="preserve"> OCHA de </w:t>
      </w:r>
      <w:r w:rsidR="001626C6">
        <w:rPr>
          <w:rFonts w:cs="Verdana"/>
          <w:szCs w:val="18"/>
        </w:rPr>
        <w:t>via VN-organisaties</w:t>
      </w:r>
      <w:r w:rsidR="00C31651">
        <w:rPr>
          <w:rFonts w:cs="Verdana"/>
          <w:szCs w:val="18"/>
        </w:rPr>
        <w:t>,</w:t>
      </w:r>
      <w:r w:rsidR="001626C6">
        <w:rPr>
          <w:rFonts w:cs="Verdana"/>
          <w:szCs w:val="18"/>
        </w:rPr>
        <w:t xml:space="preserve"> </w:t>
      </w:r>
      <w:proofErr w:type="spellStart"/>
      <w:r w:rsidR="001626C6">
        <w:rPr>
          <w:rFonts w:cs="Verdana"/>
          <w:szCs w:val="18"/>
        </w:rPr>
        <w:t>NGO’s</w:t>
      </w:r>
      <w:proofErr w:type="spellEnd"/>
      <w:r w:rsidR="001626C6">
        <w:rPr>
          <w:rFonts w:cs="Verdana"/>
          <w:szCs w:val="18"/>
        </w:rPr>
        <w:t xml:space="preserve"> en de overheid in kaart gebrachte </w:t>
      </w:r>
      <w:r>
        <w:rPr>
          <w:rFonts w:cs="Verdana"/>
          <w:szCs w:val="18"/>
        </w:rPr>
        <w:t>hulpbehoefte</w:t>
      </w:r>
      <w:r w:rsidR="001626C6">
        <w:rPr>
          <w:rFonts w:cs="Verdana"/>
          <w:szCs w:val="18"/>
        </w:rPr>
        <w:t xml:space="preserve"> </w:t>
      </w:r>
      <w:r>
        <w:rPr>
          <w:rFonts w:cs="Verdana"/>
          <w:szCs w:val="18"/>
        </w:rPr>
        <w:t xml:space="preserve">en de financiële bijdragen van donoren aan elkaar te koppelen. Als onderdeel van de </w:t>
      </w:r>
      <w:r w:rsidRPr="00AD6A8B">
        <w:rPr>
          <w:rFonts w:cs="Verdana"/>
          <w:i/>
          <w:szCs w:val="18"/>
        </w:rPr>
        <w:t xml:space="preserve">Grand </w:t>
      </w:r>
      <w:proofErr w:type="spellStart"/>
      <w:r w:rsidRPr="00AD6A8B">
        <w:rPr>
          <w:rFonts w:cs="Verdana"/>
          <w:i/>
          <w:szCs w:val="18"/>
        </w:rPr>
        <w:t>Bargain</w:t>
      </w:r>
      <w:proofErr w:type="spellEnd"/>
      <w:r w:rsidR="00145A7D">
        <w:rPr>
          <w:rStyle w:val="FootnoteReference"/>
          <w:rFonts w:cs="Verdana"/>
          <w:szCs w:val="18"/>
        </w:rPr>
        <w:footnoteReference w:id="6"/>
      </w:r>
      <w:r>
        <w:rPr>
          <w:rFonts w:cs="Verdana"/>
          <w:szCs w:val="18"/>
        </w:rPr>
        <w:t xml:space="preserve"> </w:t>
      </w:r>
      <w:proofErr w:type="spellStart"/>
      <w:r w:rsidRPr="00AD6A8B">
        <w:rPr>
          <w:rFonts w:cs="Verdana"/>
          <w:i/>
          <w:szCs w:val="18"/>
        </w:rPr>
        <w:t>commitments</w:t>
      </w:r>
      <w:proofErr w:type="spellEnd"/>
      <w:r>
        <w:rPr>
          <w:rFonts w:cs="Verdana"/>
          <w:szCs w:val="18"/>
        </w:rPr>
        <w:t xml:space="preserve"> zal OCHA zich verder toeleggen op de ontwikkeling van </w:t>
      </w:r>
      <w:r w:rsidR="00560FB5">
        <w:rPr>
          <w:rFonts w:cs="Verdana"/>
          <w:szCs w:val="18"/>
        </w:rPr>
        <w:t>m</w:t>
      </w:r>
      <w:r>
        <w:rPr>
          <w:rFonts w:cs="Verdana"/>
          <w:szCs w:val="18"/>
        </w:rPr>
        <w:t xml:space="preserve">eerjarenplannen en de versterking </w:t>
      </w:r>
      <w:r w:rsidR="00B673E2">
        <w:rPr>
          <w:rFonts w:cs="Verdana"/>
          <w:szCs w:val="18"/>
        </w:rPr>
        <w:t xml:space="preserve">van de samenwerking </w:t>
      </w:r>
      <w:r>
        <w:rPr>
          <w:rFonts w:cs="Verdana"/>
          <w:szCs w:val="18"/>
        </w:rPr>
        <w:t xml:space="preserve">met </w:t>
      </w:r>
      <w:r w:rsidR="00B1581D">
        <w:rPr>
          <w:rFonts w:cs="Verdana"/>
          <w:szCs w:val="18"/>
        </w:rPr>
        <w:t>o</w:t>
      </w:r>
      <w:r>
        <w:rPr>
          <w:rFonts w:cs="Verdana"/>
          <w:szCs w:val="18"/>
        </w:rPr>
        <w:t>ntwikkelingsactoren. OCHA heeft met meerdere grote bedrijven (</w:t>
      </w:r>
      <w:r w:rsidR="00444564">
        <w:rPr>
          <w:rFonts w:cs="Verdana"/>
          <w:szCs w:val="18"/>
        </w:rPr>
        <w:t xml:space="preserve">Deloitte, </w:t>
      </w:r>
      <w:r>
        <w:rPr>
          <w:rFonts w:cs="Verdana"/>
          <w:szCs w:val="18"/>
        </w:rPr>
        <w:t xml:space="preserve"> Ericsson, DHL) publiek-private-partnerschappen opgezet om de kennis en innovatie van deze bedrijven ten goede te laten komen aan humanitaire hulp. Deze samenwerking staat </w:t>
      </w:r>
      <w:r w:rsidR="00B673E2">
        <w:rPr>
          <w:rFonts w:cs="Verdana"/>
          <w:szCs w:val="18"/>
        </w:rPr>
        <w:t xml:space="preserve">in veel gevallen </w:t>
      </w:r>
      <w:r>
        <w:rPr>
          <w:rFonts w:cs="Verdana"/>
          <w:szCs w:val="18"/>
        </w:rPr>
        <w:t>nog in de kinderschoenen en dient verder versterkt te worden.</w:t>
      </w:r>
      <w:r w:rsidR="00B1581D">
        <w:rPr>
          <w:rFonts w:cs="Verdana"/>
          <w:szCs w:val="18"/>
        </w:rPr>
        <w:t xml:space="preserve"> </w:t>
      </w:r>
    </w:p>
    <w:p w14:paraId="3D10B5CA" w14:textId="77777777" w:rsidR="00A2646F" w:rsidRDefault="00A2646F" w:rsidP="00A2646F">
      <w:pPr>
        <w:autoSpaceDE w:val="0"/>
        <w:autoSpaceDN w:val="0"/>
        <w:adjustRightInd w:val="0"/>
        <w:spacing w:line="240" w:lineRule="auto"/>
        <w:rPr>
          <w:rFonts w:cs="Verdana"/>
          <w:szCs w:val="18"/>
        </w:rPr>
      </w:pPr>
    </w:p>
    <w:p w14:paraId="3D10B5CB" w14:textId="15261595" w:rsidR="00A2646F" w:rsidRDefault="00AD6A8B" w:rsidP="00A2646F">
      <w:pPr>
        <w:autoSpaceDE w:val="0"/>
        <w:autoSpaceDN w:val="0"/>
        <w:adjustRightInd w:val="0"/>
        <w:spacing w:line="240" w:lineRule="auto"/>
        <w:rPr>
          <w:rFonts w:cs="Verdana"/>
          <w:szCs w:val="18"/>
        </w:rPr>
      </w:pPr>
      <w:r>
        <w:rPr>
          <w:rFonts w:cs="Verdana"/>
          <w:szCs w:val="18"/>
        </w:rPr>
        <w:t>Effectieve</w:t>
      </w:r>
      <w:r w:rsidR="00035D9C">
        <w:rPr>
          <w:rFonts w:cs="Verdana"/>
          <w:szCs w:val="18"/>
        </w:rPr>
        <w:t xml:space="preserve"> coördinatie is</w:t>
      </w:r>
      <w:r w:rsidR="00A2646F">
        <w:rPr>
          <w:rFonts w:cs="Verdana"/>
          <w:szCs w:val="18"/>
        </w:rPr>
        <w:t xml:space="preserve"> cruciaal voor concrete resultaten van het humanitaire systeem. </w:t>
      </w:r>
      <w:proofErr w:type="spellStart"/>
      <w:r w:rsidR="00035D9C">
        <w:rPr>
          <w:rFonts w:cs="Verdana"/>
          <w:szCs w:val="18"/>
        </w:rPr>
        <w:t>OCHA’s</w:t>
      </w:r>
      <w:proofErr w:type="spellEnd"/>
      <w:r w:rsidR="00035D9C">
        <w:rPr>
          <w:rFonts w:cs="Verdana"/>
          <w:szCs w:val="18"/>
        </w:rPr>
        <w:t xml:space="preserve"> activiteiten omvatten onder andere</w:t>
      </w:r>
      <w:r w:rsidR="00A2646F">
        <w:rPr>
          <w:rFonts w:cs="Verdana"/>
          <w:szCs w:val="18"/>
        </w:rPr>
        <w:t xml:space="preserve"> contextanalyses met overzichten van de humanitaire noden; beleid op humanitaire toegang, interne ontheemden, bescherming, </w:t>
      </w:r>
      <w:r w:rsidR="00A2646F">
        <w:rPr>
          <w:rFonts w:cs="Verdana"/>
          <w:i/>
          <w:szCs w:val="18"/>
        </w:rPr>
        <w:t>gender-</w:t>
      </w:r>
      <w:proofErr w:type="spellStart"/>
      <w:r w:rsidR="00A2646F">
        <w:rPr>
          <w:rFonts w:cs="Verdana"/>
          <w:i/>
          <w:szCs w:val="18"/>
        </w:rPr>
        <w:t>based</w:t>
      </w:r>
      <w:proofErr w:type="spellEnd"/>
      <w:r w:rsidR="00A2646F">
        <w:rPr>
          <w:rFonts w:cs="Verdana"/>
          <w:i/>
          <w:szCs w:val="18"/>
        </w:rPr>
        <w:t xml:space="preserve"> </w:t>
      </w:r>
      <w:proofErr w:type="spellStart"/>
      <w:r w:rsidR="00A2646F">
        <w:rPr>
          <w:rFonts w:cs="Verdana"/>
          <w:i/>
          <w:szCs w:val="18"/>
        </w:rPr>
        <w:t>violence</w:t>
      </w:r>
      <w:proofErr w:type="spellEnd"/>
      <w:r w:rsidR="00A2646F">
        <w:rPr>
          <w:rFonts w:cs="Verdana"/>
          <w:szCs w:val="18"/>
        </w:rPr>
        <w:t xml:space="preserve">, Internationaal Humanitair Oorlogsrecht; verbetering van de effectiviteit van het humanitaire systeem; uitrol van de </w:t>
      </w:r>
      <w:proofErr w:type="spellStart"/>
      <w:r w:rsidR="00A2646F" w:rsidRPr="001D5910">
        <w:rPr>
          <w:rFonts w:cs="Verdana"/>
          <w:i/>
          <w:szCs w:val="18"/>
        </w:rPr>
        <w:t>Transformative</w:t>
      </w:r>
      <w:proofErr w:type="spellEnd"/>
      <w:r w:rsidR="00A2646F" w:rsidRPr="001D5910">
        <w:rPr>
          <w:rFonts w:cs="Verdana"/>
          <w:i/>
          <w:szCs w:val="18"/>
        </w:rPr>
        <w:t xml:space="preserve"> Agenda</w:t>
      </w:r>
      <w:r w:rsidR="00A2646F">
        <w:rPr>
          <w:rFonts w:cs="Verdana"/>
          <w:szCs w:val="18"/>
        </w:rPr>
        <w:t xml:space="preserve">, verbetering van het humanitair leiderschap, informatiemanagement voor de humanitaire sector (o.a. de jaarlijkse </w:t>
      </w:r>
      <w:r w:rsidR="00501C53" w:rsidRPr="00D43D9F">
        <w:rPr>
          <w:rFonts w:cs="Verdana"/>
          <w:i/>
          <w:szCs w:val="18"/>
        </w:rPr>
        <w:t xml:space="preserve">Global </w:t>
      </w:r>
      <w:proofErr w:type="spellStart"/>
      <w:r w:rsidR="00501C53" w:rsidRPr="00D43D9F">
        <w:rPr>
          <w:rFonts w:cs="Verdana"/>
          <w:i/>
          <w:szCs w:val="18"/>
        </w:rPr>
        <w:t>Humanitarian</w:t>
      </w:r>
      <w:proofErr w:type="spellEnd"/>
      <w:r w:rsidR="00501C53" w:rsidRPr="00D43D9F">
        <w:rPr>
          <w:rFonts w:cs="Verdana"/>
          <w:i/>
          <w:szCs w:val="18"/>
        </w:rPr>
        <w:t xml:space="preserve"> </w:t>
      </w:r>
      <w:proofErr w:type="spellStart"/>
      <w:r w:rsidR="00501C53" w:rsidRPr="00D43D9F">
        <w:rPr>
          <w:rFonts w:cs="Verdana"/>
          <w:i/>
          <w:szCs w:val="18"/>
        </w:rPr>
        <w:t>Overview</w:t>
      </w:r>
      <w:proofErr w:type="spellEnd"/>
      <w:r w:rsidR="00A2646F">
        <w:rPr>
          <w:rFonts w:cs="Verdana"/>
          <w:szCs w:val="18"/>
        </w:rPr>
        <w:t xml:space="preserve"> rapporten; maar ook ‘</w:t>
      </w:r>
      <w:r w:rsidR="00501C53" w:rsidRPr="00D43D9F">
        <w:rPr>
          <w:rFonts w:cs="Verdana"/>
          <w:i/>
          <w:szCs w:val="18"/>
        </w:rPr>
        <w:t xml:space="preserve">flash </w:t>
      </w:r>
      <w:proofErr w:type="spellStart"/>
      <w:r w:rsidR="00501C53" w:rsidRPr="00D43D9F">
        <w:rPr>
          <w:rFonts w:cs="Verdana"/>
          <w:i/>
          <w:szCs w:val="18"/>
        </w:rPr>
        <w:t>reports</w:t>
      </w:r>
      <w:proofErr w:type="spellEnd"/>
      <w:r w:rsidR="00501C53" w:rsidRPr="00D43D9F">
        <w:rPr>
          <w:rFonts w:cs="Verdana"/>
          <w:i/>
          <w:szCs w:val="18"/>
        </w:rPr>
        <w:t>’</w:t>
      </w:r>
      <w:r w:rsidR="00A2646F">
        <w:rPr>
          <w:rFonts w:cs="Verdana"/>
          <w:szCs w:val="18"/>
        </w:rPr>
        <w:t xml:space="preserve"> waardoor donoren en uitvoerders snel op een objectieve manier kennis kunnen nemen van de situatie in een snel verslechterende crisissituatie), fondsenwerving; versterken van lokale capaciteit op het gebied van </w:t>
      </w:r>
      <w:proofErr w:type="spellStart"/>
      <w:r w:rsidR="00A2646F">
        <w:rPr>
          <w:rFonts w:cs="Verdana"/>
          <w:i/>
          <w:szCs w:val="18"/>
        </w:rPr>
        <w:t>preparedness</w:t>
      </w:r>
      <w:proofErr w:type="spellEnd"/>
      <w:r w:rsidR="00A2646F">
        <w:rPr>
          <w:rFonts w:cs="Verdana"/>
          <w:i/>
          <w:szCs w:val="18"/>
        </w:rPr>
        <w:t xml:space="preserve"> </w:t>
      </w:r>
      <w:r w:rsidR="00A2646F">
        <w:rPr>
          <w:rFonts w:cs="Verdana"/>
          <w:szCs w:val="18"/>
        </w:rPr>
        <w:t xml:space="preserve">en respons. Daarnaast speelt OCHA een belangrijke rol in </w:t>
      </w:r>
      <w:proofErr w:type="spellStart"/>
      <w:r w:rsidR="00A2646F">
        <w:rPr>
          <w:rFonts w:cs="Verdana"/>
          <w:i/>
          <w:szCs w:val="18"/>
        </w:rPr>
        <w:t>advocacy</w:t>
      </w:r>
      <w:proofErr w:type="spellEnd"/>
      <w:r w:rsidR="00A2646F">
        <w:rPr>
          <w:rFonts w:cs="Verdana"/>
          <w:szCs w:val="18"/>
        </w:rPr>
        <w:t xml:space="preserve">. Van groot belang voor de humanitaire sector is </w:t>
      </w:r>
      <w:proofErr w:type="spellStart"/>
      <w:r w:rsidR="00A2646F">
        <w:rPr>
          <w:rFonts w:cs="Verdana"/>
          <w:szCs w:val="18"/>
        </w:rPr>
        <w:t>OCHA’s</w:t>
      </w:r>
      <w:proofErr w:type="spellEnd"/>
      <w:r w:rsidR="00A2646F">
        <w:rPr>
          <w:rFonts w:cs="Verdana"/>
          <w:szCs w:val="18"/>
        </w:rPr>
        <w:t xml:space="preserve"> rol in fondsenwerving, met name via het CERF en de </w:t>
      </w:r>
      <w:proofErr w:type="spellStart"/>
      <w:r w:rsidR="00A2646F">
        <w:rPr>
          <w:rFonts w:cs="Verdana"/>
          <w:szCs w:val="18"/>
        </w:rPr>
        <w:t>CBPF</w:t>
      </w:r>
      <w:r>
        <w:rPr>
          <w:rFonts w:cs="Verdana"/>
          <w:szCs w:val="18"/>
        </w:rPr>
        <w:t>’</w:t>
      </w:r>
      <w:r w:rsidR="00A2646F">
        <w:rPr>
          <w:rFonts w:cs="Verdana"/>
          <w:szCs w:val="18"/>
        </w:rPr>
        <w:t>s</w:t>
      </w:r>
      <w:proofErr w:type="spellEnd"/>
      <w:r w:rsidR="00A2646F">
        <w:rPr>
          <w:rFonts w:cs="Verdana"/>
          <w:szCs w:val="18"/>
        </w:rPr>
        <w:t xml:space="preserve">. Partnerschappen zijn essentieel voor de uitvoering van </w:t>
      </w:r>
      <w:proofErr w:type="spellStart"/>
      <w:r w:rsidR="00A2646F">
        <w:rPr>
          <w:rFonts w:cs="Verdana"/>
          <w:szCs w:val="18"/>
        </w:rPr>
        <w:t>OCHA’s</w:t>
      </w:r>
      <w:proofErr w:type="spellEnd"/>
      <w:r w:rsidR="00A2646F">
        <w:rPr>
          <w:rFonts w:cs="Verdana"/>
          <w:szCs w:val="18"/>
        </w:rPr>
        <w:t xml:space="preserve"> mandaat. Actoren beoordelen OCHA positief in de mate waarin de organisatie deze </w:t>
      </w:r>
      <w:r w:rsidR="00035D9C">
        <w:rPr>
          <w:rFonts w:cs="Verdana"/>
          <w:szCs w:val="18"/>
        </w:rPr>
        <w:t>taken uitvoert</w:t>
      </w:r>
      <w:r w:rsidR="00A2646F">
        <w:rPr>
          <w:rFonts w:cs="Verdana"/>
          <w:szCs w:val="18"/>
        </w:rPr>
        <w:t>, met name op strategisch niveau, en</w:t>
      </w:r>
      <w:r w:rsidR="00035D9C">
        <w:rPr>
          <w:rFonts w:cs="Verdana"/>
          <w:szCs w:val="18"/>
        </w:rPr>
        <w:t xml:space="preserve"> tijdig in staat is fondsen te mobiliseren</w:t>
      </w:r>
      <w:r w:rsidR="00A2646F">
        <w:rPr>
          <w:rFonts w:cs="Verdana"/>
          <w:szCs w:val="18"/>
        </w:rPr>
        <w:t xml:space="preserve"> waar de noden het hoogst zijn. </w:t>
      </w:r>
      <w:proofErr w:type="spellStart"/>
      <w:r w:rsidR="00A2646F">
        <w:rPr>
          <w:rFonts w:cs="Verdana"/>
          <w:szCs w:val="18"/>
        </w:rPr>
        <w:t>OCHA’s</w:t>
      </w:r>
      <w:proofErr w:type="spellEnd"/>
      <w:r w:rsidR="00A2646F">
        <w:rPr>
          <w:rFonts w:cs="Verdana"/>
          <w:szCs w:val="18"/>
        </w:rPr>
        <w:t xml:space="preserve"> kracht ligt duidelijk in het bijeenbrengen van relevante actoren. De </w:t>
      </w:r>
      <w:r w:rsidR="00501C53" w:rsidRPr="00D43D9F">
        <w:rPr>
          <w:rFonts w:cs="Verdana"/>
          <w:i/>
          <w:szCs w:val="18"/>
        </w:rPr>
        <w:t xml:space="preserve">World </w:t>
      </w:r>
      <w:proofErr w:type="spellStart"/>
      <w:r w:rsidR="00501C53" w:rsidRPr="00D43D9F">
        <w:rPr>
          <w:rFonts w:cs="Verdana"/>
          <w:i/>
          <w:szCs w:val="18"/>
        </w:rPr>
        <w:t>Humanitarian</w:t>
      </w:r>
      <w:proofErr w:type="spellEnd"/>
      <w:r w:rsidR="00501C53" w:rsidRPr="00D43D9F">
        <w:rPr>
          <w:rFonts w:cs="Verdana"/>
          <w:i/>
          <w:szCs w:val="18"/>
        </w:rPr>
        <w:t xml:space="preserve"> </w:t>
      </w:r>
      <w:proofErr w:type="spellStart"/>
      <w:r w:rsidR="00501C53" w:rsidRPr="00D43D9F">
        <w:rPr>
          <w:rFonts w:cs="Verdana"/>
          <w:i/>
          <w:szCs w:val="18"/>
        </w:rPr>
        <w:t>Summit</w:t>
      </w:r>
      <w:proofErr w:type="spellEnd"/>
      <w:r w:rsidR="00A2646F">
        <w:rPr>
          <w:rFonts w:cs="Verdana"/>
          <w:szCs w:val="18"/>
        </w:rPr>
        <w:t xml:space="preserve"> van 2016 is daarvan een voorbeeld, evenals de jaarlijkse </w:t>
      </w:r>
      <w:proofErr w:type="spellStart"/>
      <w:r w:rsidR="00501C53" w:rsidRPr="00D43D9F">
        <w:rPr>
          <w:rFonts w:cs="Verdana"/>
          <w:i/>
          <w:szCs w:val="18"/>
        </w:rPr>
        <w:t>Humanitarian</w:t>
      </w:r>
      <w:proofErr w:type="spellEnd"/>
      <w:r w:rsidR="00501C53" w:rsidRPr="00D43D9F">
        <w:rPr>
          <w:rFonts w:cs="Verdana"/>
          <w:i/>
          <w:szCs w:val="18"/>
        </w:rPr>
        <w:t xml:space="preserve"> Networks </w:t>
      </w:r>
      <w:proofErr w:type="spellStart"/>
      <w:r w:rsidR="00501C53" w:rsidRPr="00D43D9F">
        <w:rPr>
          <w:rFonts w:cs="Verdana"/>
          <w:i/>
          <w:szCs w:val="18"/>
        </w:rPr>
        <w:t>and</w:t>
      </w:r>
      <w:proofErr w:type="spellEnd"/>
      <w:r w:rsidR="00501C53" w:rsidRPr="00D43D9F">
        <w:rPr>
          <w:rFonts w:cs="Verdana"/>
          <w:i/>
          <w:szCs w:val="18"/>
        </w:rPr>
        <w:t xml:space="preserve"> Partnership Week, World </w:t>
      </w:r>
      <w:proofErr w:type="spellStart"/>
      <w:r w:rsidR="00501C53" w:rsidRPr="00D43D9F">
        <w:rPr>
          <w:rFonts w:cs="Verdana"/>
          <w:i/>
          <w:szCs w:val="18"/>
        </w:rPr>
        <w:t>Humanitarian</w:t>
      </w:r>
      <w:proofErr w:type="spellEnd"/>
      <w:r w:rsidR="00501C53" w:rsidRPr="00D43D9F">
        <w:rPr>
          <w:rFonts w:cs="Verdana"/>
          <w:i/>
          <w:szCs w:val="18"/>
        </w:rPr>
        <w:t xml:space="preserve"> Day</w:t>
      </w:r>
      <w:r w:rsidR="00A2646F">
        <w:rPr>
          <w:rFonts w:cs="Verdana"/>
          <w:szCs w:val="18"/>
        </w:rPr>
        <w:t xml:space="preserve"> en het jaarlijkse </w:t>
      </w:r>
      <w:r w:rsidR="00501C53" w:rsidRPr="00D43D9F">
        <w:rPr>
          <w:rFonts w:cs="Verdana"/>
          <w:i/>
          <w:szCs w:val="18"/>
        </w:rPr>
        <w:t xml:space="preserve">Global </w:t>
      </w:r>
      <w:proofErr w:type="spellStart"/>
      <w:r w:rsidR="00501C53" w:rsidRPr="00D43D9F">
        <w:rPr>
          <w:rFonts w:cs="Verdana"/>
          <w:i/>
          <w:szCs w:val="18"/>
        </w:rPr>
        <w:t>Humanitarian</w:t>
      </w:r>
      <w:proofErr w:type="spellEnd"/>
      <w:r w:rsidR="00501C53" w:rsidRPr="00D43D9F">
        <w:rPr>
          <w:rFonts w:cs="Verdana"/>
          <w:i/>
          <w:szCs w:val="18"/>
        </w:rPr>
        <w:t xml:space="preserve"> Policy Forum</w:t>
      </w:r>
      <w:r w:rsidR="00A2646F">
        <w:rPr>
          <w:rFonts w:cs="Verdana"/>
          <w:szCs w:val="18"/>
        </w:rPr>
        <w:t xml:space="preserve">. </w:t>
      </w:r>
    </w:p>
    <w:p w14:paraId="3D10B5CC" w14:textId="77777777" w:rsidR="00A2646F" w:rsidRDefault="00A2646F" w:rsidP="00A2646F">
      <w:pPr>
        <w:autoSpaceDE w:val="0"/>
        <w:autoSpaceDN w:val="0"/>
        <w:adjustRightInd w:val="0"/>
        <w:spacing w:line="240" w:lineRule="auto"/>
        <w:rPr>
          <w:rFonts w:cs="Verdana"/>
          <w:szCs w:val="18"/>
        </w:rPr>
      </w:pPr>
    </w:p>
    <w:p w14:paraId="3D10B5CD" w14:textId="52D19628" w:rsidR="00A2646F" w:rsidRDefault="00A2646F" w:rsidP="00A2646F">
      <w:pPr>
        <w:autoSpaceDE w:val="0"/>
        <w:autoSpaceDN w:val="0"/>
        <w:adjustRightInd w:val="0"/>
        <w:spacing w:line="240" w:lineRule="auto"/>
        <w:rPr>
          <w:rFonts w:cs="Verdana"/>
          <w:szCs w:val="18"/>
        </w:rPr>
      </w:pPr>
      <w:r>
        <w:rPr>
          <w:rFonts w:cs="Verdana"/>
          <w:szCs w:val="18"/>
        </w:rPr>
        <w:t xml:space="preserve">OCHA heeft partnerschappen met verschillende </w:t>
      </w:r>
      <w:proofErr w:type="spellStart"/>
      <w:r>
        <w:rPr>
          <w:rFonts w:cs="Verdana"/>
          <w:szCs w:val="18"/>
        </w:rPr>
        <w:t>NGO’s</w:t>
      </w:r>
      <w:proofErr w:type="spellEnd"/>
      <w:r>
        <w:rPr>
          <w:rFonts w:cs="Verdana"/>
          <w:szCs w:val="18"/>
        </w:rPr>
        <w:t xml:space="preserve">. </w:t>
      </w:r>
      <w:r w:rsidR="00B626E0">
        <w:rPr>
          <w:rFonts w:cs="Verdana"/>
          <w:szCs w:val="18"/>
        </w:rPr>
        <w:t xml:space="preserve">Op lokaal niveau wordt intensief samengewerkt met humanitaire </w:t>
      </w:r>
      <w:proofErr w:type="spellStart"/>
      <w:r w:rsidR="00B626E0">
        <w:rPr>
          <w:rFonts w:cs="Verdana"/>
          <w:szCs w:val="18"/>
        </w:rPr>
        <w:t>NGO’s</w:t>
      </w:r>
      <w:proofErr w:type="spellEnd"/>
      <w:r w:rsidR="00B626E0">
        <w:rPr>
          <w:rFonts w:cs="Verdana"/>
          <w:szCs w:val="18"/>
        </w:rPr>
        <w:t xml:space="preserve">. </w:t>
      </w:r>
      <w:r>
        <w:rPr>
          <w:rFonts w:cs="Verdana"/>
          <w:szCs w:val="18"/>
        </w:rPr>
        <w:t xml:space="preserve">Regelmatig worden er </w:t>
      </w:r>
      <w:r>
        <w:rPr>
          <w:rFonts w:cs="Verdana"/>
          <w:szCs w:val="18"/>
        </w:rPr>
        <w:lastRenderedPageBreak/>
        <w:t xml:space="preserve">bijeenkomsten gehouden in New York en Genève </w:t>
      </w:r>
      <w:r w:rsidR="006B1F66">
        <w:rPr>
          <w:rFonts w:cs="Verdana"/>
          <w:szCs w:val="18"/>
        </w:rPr>
        <w:t xml:space="preserve">met </w:t>
      </w:r>
      <w:proofErr w:type="spellStart"/>
      <w:r w:rsidR="006B1F66">
        <w:rPr>
          <w:rFonts w:cs="Verdana"/>
          <w:szCs w:val="18"/>
        </w:rPr>
        <w:t>NGO’s</w:t>
      </w:r>
      <w:proofErr w:type="spellEnd"/>
      <w:r w:rsidR="006B1F66">
        <w:rPr>
          <w:rFonts w:cs="Verdana"/>
          <w:szCs w:val="18"/>
        </w:rPr>
        <w:t xml:space="preserve"> over operationele zaken</w:t>
      </w:r>
      <w:r w:rsidR="001626C6">
        <w:rPr>
          <w:rFonts w:cs="Verdana"/>
          <w:szCs w:val="18"/>
        </w:rPr>
        <w:t xml:space="preserve">, bijvoorbeeld </w:t>
      </w:r>
      <w:r w:rsidRPr="00924923">
        <w:rPr>
          <w:rFonts w:cs="Verdana"/>
          <w:szCs w:val="18"/>
        </w:rPr>
        <w:t xml:space="preserve">met de drie grote </w:t>
      </w:r>
      <w:proofErr w:type="spellStart"/>
      <w:r w:rsidR="00D43D9F">
        <w:rPr>
          <w:rFonts w:cs="Verdana"/>
          <w:szCs w:val="18"/>
        </w:rPr>
        <w:t>i</w:t>
      </w:r>
      <w:r w:rsidRPr="00924923">
        <w:rPr>
          <w:rFonts w:cs="Verdana"/>
          <w:szCs w:val="18"/>
        </w:rPr>
        <w:t>NGO</w:t>
      </w:r>
      <w:proofErr w:type="spellEnd"/>
      <w:r>
        <w:rPr>
          <w:rFonts w:cs="Verdana"/>
          <w:szCs w:val="18"/>
        </w:rPr>
        <w:t>-</w:t>
      </w:r>
      <w:r w:rsidRPr="00924923">
        <w:rPr>
          <w:rFonts w:cs="Verdana"/>
          <w:szCs w:val="18"/>
        </w:rPr>
        <w:t>consortia (</w:t>
      </w:r>
      <w:proofErr w:type="spellStart"/>
      <w:r w:rsidRPr="00AD6A8B">
        <w:rPr>
          <w:rFonts w:cs="Verdana"/>
          <w:i/>
          <w:szCs w:val="18"/>
        </w:rPr>
        <w:t>InterAction</w:t>
      </w:r>
      <w:proofErr w:type="spellEnd"/>
      <w:r w:rsidRPr="00AD6A8B">
        <w:rPr>
          <w:rFonts w:cs="Verdana"/>
          <w:i/>
          <w:szCs w:val="18"/>
        </w:rPr>
        <w:t xml:space="preserve">, </w:t>
      </w:r>
      <w:proofErr w:type="spellStart"/>
      <w:r w:rsidRPr="00AD6A8B">
        <w:rPr>
          <w:rFonts w:cs="Verdana"/>
          <w:i/>
          <w:szCs w:val="18"/>
        </w:rPr>
        <w:t>the</w:t>
      </w:r>
      <w:proofErr w:type="spellEnd"/>
      <w:r w:rsidRPr="00AD6A8B">
        <w:rPr>
          <w:rFonts w:cs="Verdana"/>
          <w:i/>
          <w:szCs w:val="18"/>
        </w:rPr>
        <w:t xml:space="preserve"> International Co</w:t>
      </w:r>
      <w:r w:rsidR="00AD6A8B">
        <w:rPr>
          <w:rFonts w:cs="Verdana"/>
          <w:i/>
          <w:szCs w:val="18"/>
        </w:rPr>
        <w:t xml:space="preserve">uncil of </w:t>
      </w:r>
      <w:proofErr w:type="spellStart"/>
      <w:r w:rsidR="00AD6A8B">
        <w:rPr>
          <w:rFonts w:cs="Verdana"/>
          <w:i/>
          <w:szCs w:val="18"/>
        </w:rPr>
        <w:t>Voluntary</w:t>
      </w:r>
      <w:proofErr w:type="spellEnd"/>
      <w:r w:rsidR="00AD6A8B">
        <w:rPr>
          <w:rFonts w:cs="Verdana"/>
          <w:i/>
          <w:szCs w:val="18"/>
        </w:rPr>
        <w:t xml:space="preserve"> </w:t>
      </w:r>
      <w:proofErr w:type="spellStart"/>
      <w:r w:rsidR="00AD6A8B">
        <w:rPr>
          <w:rFonts w:cs="Verdana"/>
          <w:i/>
          <w:szCs w:val="18"/>
        </w:rPr>
        <w:t>Agencies</w:t>
      </w:r>
      <w:proofErr w:type="spellEnd"/>
      <w:r w:rsidR="00AD6A8B">
        <w:rPr>
          <w:rFonts w:cs="Verdana"/>
          <w:i/>
          <w:szCs w:val="18"/>
        </w:rPr>
        <w:t xml:space="preserve"> </w:t>
      </w:r>
      <w:r w:rsidR="00AD6A8B">
        <w:rPr>
          <w:rFonts w:cs="Verdana"/>
          <w:szCs w:val="18"/>
        </w:rPr>
        <w:t>en</w:t>
      </w:r>
      <w:r w:rsidRPr="00AD6A8B">
        <w:rPr>
          <w:rFonts w:cs="Verdana"/>
          <w:i/>
          <w:szCs w:val="18"/>
        </w:rPr>
        <w:t xml:space="preserve"> </w:t>
      </w:r>
      <w:proofErr w:type="spellStart"/>
      <w:r w:rsidRPr="00AD6A8B">
        <w:rPr>
          <w:rFonts w:cs="Verdana"/>
          <w:i/>
          <w:szCs w:val="18"/>
        </w:rPr>
        <w:t>the</w:t>
      </w:r>
      <w:proofErr w:type="spellEnd"/>
      <w:r w:rsidRPr="00AD6A8B">
        <w:rPr>
          <w:rFonts w:cs="Verdana"/>
          <w:i/>
          <w:szCs w:val="18"/>
        </w:rPr>
        <w:t xml:space="preserve"> Steering </w:t>
      </w:r>
      <w:proofErr w:type="spellStart"/>
      <w:r w:rsidRPr="00AD6A8B">
        <w:rPr>
          <w:rFonts w:cs="Verdana"/>
          <w:i/>
          <w:szCs w:val="18"/>
        </w:rPr>
        <w:t>Committee</w:t>
      </w:r>
      <w:proofErr w:type="spellEnd"/>
      <w:r w:rsidRPr="00AD6A8B">
        <w:rPr>
          <w:rFonts w:cs="Verdana"/>
          <w:i/>
          <w:szCs w:val="18"/>
        </w:rPr>
        <w:t xml:space="preserve"> </w:t>
      </w:r>
      <w:proofErr w:type="spellStart"/>
      <w:r w:rsidRPr="00AD6A8B">
        <w:rPr>
          <w:rFonts w:cs="Verdana"/>
          <w:i/>
          <w:szCs w:val="18"/>
        </w:rPr>
        <w:t>for</w:t>
      </w:r>
      <w:proofErr w:type="spellEnd"/>
      <w:r w:rsidRPr="00AD6A8B">
        <w:rPr>
          <w:rFonts w:cs="Verdana"/>
          <w:i/>
          <w:szCs w:val="18"/>
        </w:rPr>
        <w:t xml:space="preserve"> </w:t>
      </w:r>
      <w:proofErr w:type="spellStart"/>
      <w:r w:rsidRPr="00AD6A8B">
        <w:rPr>
          <w:rFonts w:cs="Verdana"/>
          <w:i/>
          <w:szCs w:val="18"/>
        </w:rPr>
        <w:t>Humanitarian</w:t>
      </w:r>
      <w:proofErr w:type="spellEnd"/>
      <w:r w:rsidRPr="00AD6A8B">
        <w:rPr>
          <w:rFonts w:cs="Verdana"/>
          <w:i/>
          <w:szCs w:val="18"/>
        </w:rPr>
        <w:t xml:space="preserve"> Response</w:t>
      </w:r>
      <w:r w:rsidRPr="00924923">
        <w:rPr>
          <w:rFonts w:cs="Verdana"/>
          <w:szCs w:val="18"/>
        </w:rPr>
        <w:t>)</w:t>
      </w:r>
      <w:r w:rsidR="004862F0">
        <w:rPr>
          <w:rFonts w:cs="Verdana"/>
          <w:szCs w:val="18"/>
        </w:rPr>
        <w:t xml:space="preserve"> </w:t>
      </w:r>
      <w:r w:rsidR="0009460C">
        <w:rPr>
          <w:rFonts w:cs="Verdana"/>
          <w:szCs w:val="18"/>
        </w:rPr>
        <w:t xml:space="preserve">het Internationale Comité van het Rode Kruis </w:t>
      </w:r>
      <w:r w:rsidR="008C69AF">
        <w:rPr>
          <w:rFonts w:cs="Verdana"/>
          <w:szCs w:val="18"/>
        </w:rPr>
        <w:t>(ICRC),</w:t>
      </w:r>
      <w:r w:rsidR="0009460C">
        <w:rPr>
          <w:rFonts w:cs="Verdana"/>
          <w:szCs w:val="18"/>
        </w:rPr>
        <w:t xml:space="preserve"> </w:t>
      </w:r>
      <w:r w:rsidR="008C69AF">
        <w:rPr>
          <w:rFonts w:cs="Verdana"/>
          <w:szCs w:val="18"/>
        </w:rPr>
        <w:t>de Internationale Federatie van Rode Kruis- en Rode Halve Maanverenigingen,</w:t>
      </w:r>
      <w:r>
        <w:rPr>
          <w:rFonts w:cs="Verdana"/>
          <w:szCs w:val="18"/>
        </w:rPr>
        <w:t xml:space="preserve"> met zuidelijke </w:t>
      </w:r>
      <w:proofErr w:type="spellStart"/>
      <w:r>
        <w:rPr>
          <w:rFonts w:cs="Verdana"/>
          <w:szCs w:val="18"/>
        </w:rPr>
        <w:t>NGO</w:t>
      </w:r>
      <w:r w:rsidR="001626C6">
        <w:rPr>
          <w:rFonts w:cs="Verdana"/>
          <w:szCs w:val="18"/>
        </w:rPr>
        <w:t>'</w:t>
      </w:r>
      <w:r>
        <w:rPr>
          <w:rFonts w:cs="Verdana"/>
          <w:szCs w:val="18"/>
        </w:rPr>
        <w:t>s</w:t>
      </w:r>
      <w:proofErr w:type="spellEnd"/>
      <w:r>
        <w:rPr>
          <w:rFonts w:cs="Verdana"/>
          <w:szCs w:val="18"/>
        </w:rPr>
        <w:t xml:space="preserve"> en partner-</w:t>
      </w:r>
      <w:proofErr w:type="spellStart"/>
      <w:r>
        <w:rPr>
          <w:rFonts w:cs="Verdana"/>
          <w:szCs w:val="18"/>
        </w:rPr>
        <w:t>NGO</w:t>
      </w:r>
      <w:r w:rsidR="001626C6">
        <w:rPr>
          <w:rFonts w:cs="Verdana"/>
          <w:szCs w:val="18"/>
        </w:rPr>
        <w:t>'</w:t>
      </w:r>
      <w:r>
        <w:rPr>
          <w:rFonts w:cs="Verdana"/>
          <w:szCs w:val="18"/>
        </w:rPr>
        <w:t>s</w:t>
      </w:r>
      <w:proofErr w:type="spellEnd"/>
      <w:r>
        <w:rPr>
          <w:rFonts w:cs="Verdana"/>
          <w:szCs w:val="18"/>
        </w:rPr>
        <w:t xml:space="preserve"> voor de </w:t>
      </w:r>
      <w:proofErr w:type="spellStart"/>
      <w:r w:rsidRPr="006B1F66">
        <w:rPr>
          <w:rFonts w:cs="Verdana"/>
          <w:i/>
          <w:szCs w:val="18"/>
        </w:rPr>
        <w:t>pooled</w:t>
      </w:r>
      <w:proofErr w:type="spellEnd"/>
      <w:r w:rsidRPr="006B1F66">
        <w:rPr>
          <w:rFonts w:cs="Verdana"/>
          <w:i/>
          <w:szCs w:val="18"/>
        </w:rPr>
        <w:t xml:space="preserve"> funds</w:t>
      </w:r>
      <w:r w:rsidRPr="00924923">
        <w:rPr>
          <w:rFonts w:cs="Verdana"/>
          <w:szCs w:val="18"/>
        </w:rPr>
        <w:t xml:space="preserve">. </w:t>
      </w:r>
      <w:r>
        <w:rPr>
          <w:rFonts w:cs="Verdana"/>
          <w:szCs w:val="18"/>
        </w:rPr>
        <w:t>Technische coördinatie schiet soms tekort vanwege onduidelijke procedures en logge interne administratieve systemen. OCHA dient verder werk te maken van de samenwerking met mogelijke private partners en nieuw</w:t>
      </w:r>
      <w:r w:rsidR="008C69AF">
        <w:rPr>
          <w:rFonts w:cs="Verdana"/>
          <w:szCs w:val="18"/>
        </w:rPr>
        <w:t>e</w:t>
      </w:r>
      <w:r>
        <w:rPr>
          <w:rFonts w:cs="Verdana"/>
          <w:szCs w:val="18"/>
        </w:rPr>
        <w:t xml:space="preserve"> actoren</w:t>
      </w:r>
      <w:r w:rsidR="004862F0">
        <w:rPr>
          <w:rFonts w:cs="Verdana"/>
          <w:szCs w:val="18"/>
        </w:rPr>
        <w:t xml:space="preserve">, zoals zuidelijke </w:t>
      </w:r>
      <w:proofErr w:type="spellStart"/>
      <w:r w:rsidR="004862F0">
        <w:rPr>
          <w:rFonts w:cs="Verdana"/>
          <w:szCs w:val="18"/>
        </w:rPr>
        <w:t>NGO’s</w:t>
      </w:r>
      <w:proofErr w:type="spellEnd"/>
      <w:r w:rsidR="004862F0">
        <w:rPr>
          <w:rFonts w:cs="Verdana"/>
          <w:szCs w:val="18"/>
        </w:rPr>
        <w:t xml:space="preserve"> en regionale organisaties (zoals ASEAN, ECOWAS)</w:t>
      </w:r>
      <w:r>
        <w:rPr>
          <w:rFonts w:cs="Verdana"/>
          <w:szCs w:val="18"/>
        </w:rPr>
        <w:t xml:space="preserve"> en donoren in het humanitaire veld.</w:t>
      </w:r>
    </w:p>
    <w:p w14:paraId="3D10B5CE" w14:textId="77777777" w:rsidR="00A2646F" w:rsidRDefault="00A2646F" w:rsidP="00A2646F">
      <w:pPr>
        <w:autoSpaceDE w:val="0"/>
        <w:autoSpaceDN w:val="0"/>
        <w:adjustRightInd w:val="0"/>
        <w:spacing w:line="240" w:lineRule="auto"/>
        <w:rPr>
          <w:rFonts w:cs="Verdana"/>
          <w:szCs w:val="18"/>
        </w:rPr>
      </w:pPr>
    </w:p>
    <w:p w14:paraId="3D10B5CF" w14:textId="77777777" w:rsidR="00A2646F" w:rsidRDefault="00A2646F" w:rsidP="00A2646F">
      <w:pPr>
        <w:autoSpaceDE w:val="0"/>
        <w:autoSpaceDN w:val="0"/>
        <w:adjustRightInd w:val="0"/>
        <w:spacing w:line="240" w:lineRule="auto"/>
        <w:rPr>
          <w:rFonts w:cs="Verdana"/>
          <w:szCs w:val="18"/>
        </w:rPr>
      </w:pPr>
      <w:r>
        <w:rPr>
          <w:rFonts w:cs="Verdana"/>
          <w:szCs w:val="18"/>
        </w:rPr>
        <w:t xml:space="preserve">Naast </w:t>
      </w:r>
      <w:proofErr w:type="spellStart"/>
      <w:r>
        <w:rPr>
          <w:rFonts w:cs="Verdana"/>
          <w:szCs w:val="18"/>
        </w:rPr>
        <w:t>NGO</w:t>
      </w:r>
      <w:r w:rsidR="001626C6">
        <w:rPr>
          <w:rFonts w:cs="Verdana"/>
          <w:szCs w:val="18"/>
        </w:rPr>
        <w:t>'</w:t>
      </w:r>
      <w:r>
        <w:rPr>
          <w:rFonts w:cs="Verdana"/>
          <w:szCs w:val="18"/>
        </w:rPr>
        <w:t>s</w:t>
      </w:r>
      <w:proofErr w:type="spellEnd"/>
      <w:r>
        <w:rPr>
          <w:rFonts w:cs="Verdana"/>
          <w:szCs w:val="18"/>
        </w:rPr>
        <w:t xml:space="preserve"> heeft OCHA ook partnerschappen met andere VN-organisaties, bijvoorbeeld met UNDP in het beheer van de </w:t>
      </w:r>
      <w:proofErr w:type="spellStart"/>
      <w:r w:rsidRPr="006B1F66">
        <w:rPr>
          <w:rFonts w:cs="Verdana"/>
          <w:i/>
          <w:szCs w:val="18"/>
        </w:rPr>
        <w:t>pooled</w:t>
      </w:r>
      <w:proofErr w:type="spellEnd"/>
      <w:r w:rsidRPr="006B1F66">
        <w:rPr>
          <w:rFonts w:cs="Verdana"/>
          <w:i/>
          <w:szCs w:val="18"/>
        </w:rPr>
        <w:t xml:space="preserve"> funds</w:t>
      </w:r>
      <w:r>
        <w:rPr>
          <w:rFonts w:cs="Verdana"/>
          <w:szCs w:val="18"/>
        </w:rPr>
        <w:t xml:space="preserve">, met UNHCR voor situaties waar zowel vluchtelingen als ontheemden zijn, </w:t>
      </w:r>
      <w:r w:rsidR="006B1F66">
        <w:rPr>
          <w:rFonts w:cs="Verdana"/>
          <w:szCs w:val="18"/>
        </w:rPr>
        <w:t xml:space="preserve">en </w:t>
      </w:r>
      <w:r>
        <w:rPr>
          <w:rFonts w:cs="Verdana"/>
          <w:szCs w:val="18"/>
        </w:rPr>
        <w:t xml:space="preserve">met </w:t>
      </w:r>
      <w:r w:rsidR="006B1F66">
        <w:rPr>
          <w:rFonts w:cs="Verdana"/>
          <w:szCs w:val="18"/>
        </w:rPr>
        <w:t xml:space="preserve">het </w:t>
      </w:r>
      <w:proofErr w:type="spellStart"/>
      <w:r w:rsidRPr="005C3F38">
        <w:rPr>
          <w:rFonts w:cs="Verdana"/>
          <w:i/>
          <w:szCs w:val="18"/>
        </w:rPr>
        <w:t>Department</w:t>
      </w:r>
      <w:proofErr w:type="spellEnd"/>
      <w:r w:rsidRPr="005C3F38">
        <w:rPr>
          <w:rFonts w:cs="Verdana"/>
          <w:i/>
          <w:szCs w:val="18"/>
        </w:rPr>
        <w:t xml:space="preserve"> of Peacekeeping Operations</w:t>
      </w:r>
      <w:r w:rsidR="00BD7E84">
        <w:rPr>
          <w:rFonts w:cs="Verdana"/>
          <w:i/>
          <w:szCs w:val="18"/>
        </w:rPr>
        <w:t xml:space="preserve"> </w:t>
      </w:r>
      <w:r w:rsidR="00501C53" w:rsidRPr="008C69AF">
        <w:rPr>
          <w:rFonts w:cs="Verdana"/>
          <w:szCs w:val="18"/>
        </w:rPr>
        <w:t>(</w:t>
      </w:r>
      <w:r w:rsidR="00BD7E84" w:rsidRPr="00BD7E84">
        <w:t>DPKO)</w:t>
      </w:r>
      <w:r>
        <w:rPr>
          <w:rFonts w:cs="Verdana"/>
          <w:i/>
          <w:szCs w:val="18"/>
        </w:rPr>
        <w:t xml:space="preserve"> </w:t>
      </w:r>
      <w:r>
        <w:rPr>
          <w:rFonts w:cs="Verdana"/>
          <w:szCs w:val="18"/>
        </w:rPr>
        <w:t xml:space="preserve">om te waarborgen dat de implementatie van </w:t>
      </w:r>
      <w:proofErr w:type="spellStart"/>
      <w:r w:rsidRPr="005C3F38">
        <w:rPr>
          <w:rFonts w:cs="Verdana"/>
          <w:i/>
          <w:szCs w:val="18"/>
        </w:rPr>
        <w:t>Protection</w:t>
      </w:r>
      <w:proofErr w:type="spellEnd"/>
      <w:r w:rsidRPr="005C3F38">
        <w:rPr>
          <w:rFonts w:cs="Verdana"/>
          <w:i/>
          <w:szCs w:val="18"/>
        </w:rPr>
        <w:t xml:space="preserve"> of </w:t>
      </w:r>
      <w:proofErr w:type="spellStart"/>
      <w:r w:rsidRPr="005C3F38">
        <w:rPr>
          <w:rFonts w:cs="Verdana"/>
          <w:i/>
          <w:szCs w:val="18"/>
        </w:rPr>
        <w:t>Civilians</w:t>
      </w:r>
      <w:proofErr w:type="spellEnd"/>
      <w:r w:rsidRPr="005C3F38">
        <w:rPr>
          <w:rFonts w:cs="Verdana"/>
          <w:i/>
          <w:szCs w:val="18"/>
        </w:rPr>
        <w:t xml:space="preserve"> (</w:t>
      </w:r>
      <w:proofErr w:type="spellStart"/>
      <w:r w:rsidRPr="005C3F38">
        <w:rPr>
          <w:rFonts w:cs="Verdana"/>
          <w:i/>
          <w:szCs w:val="18"/>
        </w:rPr>
        <w:t>PoC</w:t>
      </w:r>
      <w:proofErr w:type="spellEnd"/>
      <w:r w:rsidRPr="005C3F38">
        <w:rPr>
          <w:rFonts w:cs="Verdana"/>
          <w:i/>
          <w:szCs w:val="18"/>
        </w:rPr>
        <w:t>)</w:t>
      </w:r>
      <w:r>
        <w:rPr>
          <w:rFonts w:cs="Verdana"/>
          <w:szCs w:val="18"/>
        </w:rPr>
        <w:t xml:space="preserve"> in VN vredesoperaties wordt uitgevoerd.</w:t>
      </w:r>
      <w:r w:rsidR="00B626E0">
        <w:rPr>
          <w:rFonts w:cs="Verdana"/>
          <w:szCs w:val="18"/>
        </w:rPr>
        <w:t xml:space="preserve"> OCHA coördineert de inzet van humanitaire VN-organisaties in crisissituaties</w:t>
      </w:r>
      <w:r w:rsidR="0002285D">
        <w:rPr>
          <w:rFonts w:cs="Verdana"/>
          <w:szCs w:val="18"/>
        </w:rPr>
        <w:t>, met name op strategisch niveau</w:t>
      </w:r>
      <w:r w:rsidR="00B626E0">
        <w:rPr>
          <w:rFonts w:cs="Verdana"/>
          <w:szCs w:val="18"/>
        </w:rPr>
        <w:t xml:space="preserve">. </w:t>
      </w:r>
    </w:p>
    <w:p w14:paraId="3D10B5D0" w14:textId="77777777" w:rsidR="006B1F66" w:rsidRDefault="006B1F66" w:rsidP="00A2646F">
      <w:pPr>
        <w:autoSpaceDE w:val="0"/>
        <w:autoSpaceDN w:val="0"/>
        <w:adjustRightInd w:val="0"/>
        <w:spacing w:line="240" w:lineRule="auto"/>
        <w:rPr>
          <w:rFonts w:cs="Verdana"/>
          <w:szCs w:val="18"/>
        </w:rPr>
      </w:pPr>
    </w:p>
    <w:p w14:paraId="3D10B5D1" w14:textId="77777777" w:rsidR="006B1F66" w:rsidRDefault="006B1F66" w:rsidP="006B1F66">
      <w:pPr>
        <w:rPr>
          <w:rFonts w:cs="Verdana"/>
          <w:szCs w:val="18"/>
        </w:rPr>
      </w:pPr>
      <w:r>
        <w:rPr>
          <w:rFonts w:cs="Verdana"/>
          <w:szCs w:val="18"/>
        </w:rPr>
        <w:t>Het VN streven ‘</w:t>
      </w:r>
      <w:r>
        <w:rPr>
          <w:rFonts w:cs="Verdana"/>
          <w:i/>
          <w:iCs/>
          <w:szCs w:val="18"/>
        </w:rPr>
        <w:t xml:space="preserve">Delivering as </w:t>
      </w:r>
      <w:proofErr w:type="spellStart"/>
      <w:r>
        <w:rPr>
          <w:rFonts w:cs="Verdana"/>
          <w:i/>
          <w:iCs/>
          <w:szCs w:val="18"/>
        </w:rPr>
        <w:t>One</w:t>
      </w:r>
      <w:proofErr w:type="spellEnd"/>
      <w:r>
        <w:rPr>
          <w:rFonts w:cs="Verdana"/>
          <w:i/>
          <w:iCs/>
          <w:szCs w:val="18"/>
        </w:rPr>
        <w:t xml:space="preserve">’ </w:t>
      </w:r>
      <w:r>
        <w:rPr>
          <w:rFonts w:cs="Verdana"/>
          <w:szCs w:val="18"/>
        </w:rPr>
        <w:t>of afstemming met politieke beleidsprioriteiten van nationale overheden kunnen op</w:t>
      </w:r>
      <w:r>
        <w:rPr>
          <w:rFonts w:cs="Verdana"/>
          <w:i/>
          <w:iCs/>
          <w:szCs w:val="18"/>
        </w:rPr>
        <w:t xml:space="preserve"> </w:t>
      </w:r>
      <w:r>
        <w:rPr>
          <w:rFonts w:cs="Verdana"/>
          <w:szCs w:val="18"/>
        </w:rPr>
        <w:t>gespannen voet staan met de humanitaire principes van neutraliteit,</w:t>
      </w:r>
      <w:r>
        <w:rPr>
          <w:rFonts w:cs="Verdana"/>
          <w:i/>
          <w:iCs/>
          <w:szCs w:val="18"/>
        </w:rPr>
        <w:t xml:space="preserve"> </w:t>
      </w:r>
      <w:r>
        <w:rPr>
          <w:rFonts w:cs="Verdana"/>
          <w:szCs w:val="18"/>
        </w:rPr>
        <w:t xml:space="preserve">onafhankelijkheid en onpartijdigheid. Toch streeft OCHA ernaar om als één VN-systeem te opereren. OCHA weet hierin </w:t>
      </w:r>
      <w:r w:rsidR="000A7F5E">
        <w:rPr>
          <w:rFonts w:cs="Verdana"/>
          <w:szCs w:val="18"/>
        </w:rPr>
        <w:t xml:space="preserve">binnen zijn invloedssfeer </w:t>
      </w:r>
      <w:r>
        <w:rPr>
          <w:rFonts w:cs="Verdana"/>
          <w:szCs w:val="18"/>
        </w:rPr>
        <w:t>een juiste balans te vinden.</w:t>
      </w:r>
    </w:p>
    <w:p w14:paraId="3D10B5D2" w14:textId="77777777" w:rsidR="00B673E2" w:rsidRDefault="00B673E2" w:rsidP="00B673E2">
      <w:pPr>
        <w:rPr>
          <w:rFonts w:cs="Verdana"/>
          <w:szCs w:val="18"/>
        </w:rPr>
      </w:pPr>
    </w:p>
    <w:p w14:paraId="3D10B5D3" w14:textId="77777777" w:rsidR="00B673E2" w:rsidRPr="00F56307" w:rsidRDefault="00B673E2" w:rsidP="00B673E2">
      <w:pPr>
        <w:rPr>
          <w:szCs w:val="22"/>
        </w:rPr>
      </w:pPr>
      <w:r w:rsidRPr="00313BBB">
        <w:rPr>
          <w:rFonts w:cs="Verdana"/>
          <w:i/>
          <w:szCs w:val="18"/>
        </w:rPr>
        <w:t>OCHA datacentrum</w:t>
      </w:r>
      <w:r w:rsidR="00313BBB">
        <w:rPr>
          <w:rFonts w:cs="Verdana"/>
          <w:i/>
          <w:szCs w:val="18"/>
        </w:rPr>
        <w:t xml:space="preserve"> in Den Haag</w:t>
      </w:r>
    </w:p>
    <w:p w14:paraId="3D10B5D4" w14:textId="392F1DC2" w:rsidR="00313BBB" w:rsidRDefault="00B5432A" w:rsidP="00B5432A">
      <w:pPr>
        <w:autoSpaceDE w:val="0"/>
        <w:autoSpaceDN w:val="0"/>
        <w:adjustRightInd w:val="0"/>
        <w:spacing w:line="240" w:lineRule="auto"/>
        <w:rPr>
          <w:rFonts w:cs="Verdana"/>
          <w:szCs w:val="18"/>
        </w:rPr>
      </w:pPr>
      <w:r w:rsidRPr="00A33D53">
        <w:rPr>
          <w:rFonts w:cs="Verdana"/>
          <w:szCs w:val="18"/>
        </w:rPr>
        <w:t xml:space="preserve">Nederland en OCHA </w:t>
      </w:r>
      <w:r>
        <w:rPr>
          <w:rFonts w:cs="Verdana"/>
          <w:szCs w:val="18"/>
        </w:rPr>
        <w:t xml:space="preserve">hebben op de </w:t>
      </w:r>
      <w:r>
        <w:rPr>
          <w:rFonts w:cs="Verdana"/>
          <w:i/>
          <w:szCs w:val="18"/>
        </w:rPr>
        <w:t xml:space="preserve">World </w:t>
      </w:r>
      <w:proofErr w:type="spellStart"/>
      <w:r>
        <w:rPr>
          <w:rFonts w:cs="Verdana"/>
          <w:i/>
          <w:szCs w:val="18"/>
        </w:rPr>
        <w:t>Humanitarian</w:t>
      </w:r>
      <w:proofErr w:type="spellEnd"/>
      <w:r>
        <w:rPr>
          <w:rFonts w:cs="Verdana"/>
          <w:i/>
          <w:szCs w:val="18"/>
        </w:rPr>
        <w:t xml:space="preserve"> </w:t>
      </w:r>
      <w:proofErr w:type="spellStart"/>
      <w:r w:rsidRPr="00BC21F4">
        <w:rPr>
          <w:rFonts w:cs="Verdana"/>
          <w:szCs w:val="18"/>
        </w:rPr>
        <w:t>Summit</w:t>
      </w:r>
      <w:proofErr w:type="spellEnd"/>
      <w:r>
        <w:rPr>
          <w:rFonts w:cs="Verdana"/>
          <w:szCs w:val="18"/>
        </w:rPr>
        <w:t xml:space="preserve"> het</w:t>
      </w:r>
      <w:r w:rsidR="00313BBB">
        <w:rPr>
          <w:rFonts w:cs="Verdana"/>
          <w:szCs w:val="18"/>
        </w:rPr>
        <w:t xml:space="preserve"> initiatief genomen tot een</w:t>
      </w:r>
      <w:r>
        <w:rPr>
          <w:rFonts w:cs="Verdana"/>
          <w:szCs w:val="18"/>
        </w:rPr>
        <w:t xml:space="preserve"> </w:t>
      </w:r>
      <w:r>
        <w:rPr>
          <w:rFonts w:cs="Verdana"/>
          <w:i/>
          <w:szCs w:val="18"/>
        </w:rPr>
        <w:t xml:space="preserve">Centre </w:t>
      </w:r>
      <w:proofErr w:type="spellStart"/>
      <w:r>
        <w:rPr>
          <w:rFonts w:cs="Verdana"/>
          <w:i/>
          <w:szCs w:val="18"/>
        </w:rPr>
        <w:t>for</w:t>
      </w:r>
      <w:proofErr w:type="spellEnd"/>
      <w:r>
        <w:rPr>
          <w:rFonts w:cs="Verdana"/>
          <w:i/>
          <w:szCs w:val="18"/>
        </w:rPr>
        <w:t xml:space="preserve"> </w:t>
      </w:r>
      <w:proofErr w:type="spellStart"/>
      <w:r>
        <w:rPr>
          <w:rFonts w:cs="Verdana"/>
          <w:i/>
          <w:szCs w:val="18"/>
        </w:rPr>
        <w:t>Humanitarian</w:t>
      </w:r>
      <w:proofErr w:type="spellEnd"/>
      <w:r>
        <w:rPr>
          <w:rFonts w:cs="Verdana"/>
          <w:i/>
          <w:szCs w:val="18"/>
        </w:rPr>
        <w:t xml:space="preserve"> Data</w:t>
      </w:r>
      <w:r>
        <w:rPr>
          <w:rFonts w:cs="Verdana"/>
          <w:szCs w:val="18"/>
        </w:rPr>
        <w:t xml:space="preserve">. </w:t>
      </w:r>
      <w:r w:rsidR="00313BBB">
        <w:rPr>
          <w:bCs/>
          <w:szCs w:val="18"/>
        </w:rPr>
        <w:t>Dit</w:t>
      </w:r>
      <w:r>
        <w:rPr>
          <w:bCs/>
          <w:szCs w:val="18"/>
        </w:rPr>
        <w:t xml:space="preserve"> centrum </w:t>
      </w:r>
      <w:r w:rsidR="00313BBB">
        <w:rPr>
          <w:bCs/>
          <w:szCs w:val="18"/>
        </w:rPr>
        <w:t xml:space="preserve">moet </w:t>
      </w:r>
      <w:r>
        <w:rPr>
          <w:bCs/>
          <w:szCs w:val="18"/>
        </w:rPr>
        <w:t xml:space="preserve">belangrijke invulling </w:t>
      </w:r>
      <w:r w:rsidR="00313BBB">
        <w:rPr>
          <w:bCs/>
          <w:szCs w:val="18"/>
        </w:rPr>
        <w:t xml:space="preserve">geven </w:t>
      </w:r>
      <w:r>
        <w:rPr>
          <w:bCs/>
          <w:szCs w:val="18"/>
        </w:rPr>
        <w:t xml:space="preserve">aan de Nederlandse ambitie om noodhulp te innoveren en transparanter te maken. Het centrum </w:t>
      </w:r>
      <w:r w:rsidR="00313BBB">
        <w:rPr>
          <w:bCs/>
          <w:szCs w:val="18"/>
        </w:rPr>
        <w:t>wordt</w:t>
      </w:r>
      <w:r>
        <w:rPr>
          <w:bCs/>
          <w:szCs w:val="18"/>
        </w:rPr>
        <w:t xml:space="preserve"> mid-2017</w:t>
      </w:r>
      <w:r w:rsidR="00313BBB">
        <w:rPr>
          <w:bCs/>
          <w:szCs w:val="18"/>
        </w:rPr>
        <w:t xml:space="preserve"> in Den Haag gevestigd met</w:t>
      </w:r>
      <w:r>
        <w:rPr>
          <w:bCs/>
          <w:szCs w:val="18"/>
        </w:rPr>
        <w:t xml:space="preserve"> als missie het verhogen van gebruik en impact van data in de humanitaire sector. </w:t>
      </w:r>
      <w:r w:rsidR="00313BBB">
        <w:rPr>
          <w:bCs/>
          <w:szCs w:val="18"/>
        </w:rPr>
        <w:t xml:space="preserve">De </w:t>
      </w:r>
      <w:r>
        <w:rPr>
          <w:rFonts w:cs="Verdana"/>
          <w:szCs w:val="18"/>
        </w:rPr>
        <w:t xml:space="preserve">toegevoegde waarde van het centrum </w:t>
      </w:r>
      <w:r w:rsidR="00313BBB">
        <w:rPr>
          <w:rFonts w:cs="Verdana"/>
          <w:szCs w:val="18"/>
        </w:rPr>
        <w:t>ligt erin dat er weliswaar vol</w:t>
      </w:r>
      <w:r w:rsidRPr="00ED0285">
        <w:rPr>
          <w:rFonts w:cs="Verdana"/>
          <w:szCs w:val="18"/>
        </w:rPr>
        <w:t>doende initiatieven zijn rondom technologie en directe innovatie, maar dat er een behoefte bestaat voor coördinatie van bestaande initiatieven</w:t>
      </w:r>
      <w:r w:rsidR="00313BBB">
        <w:rPr>
          <w:rFonts w:cs="Verdana"/>
          <w:szCs w:val="18"/>
        </w:rPr>
        <w:t xml:space="preserve"> </w:t>
      </w:r>
      <w:r w:rsidRPr="00ED0285">
        <w:rPr>
          <w:rFonts w:cs="Verdana"/>
          <w:szCs w:val="18"/>
        </w:rPr>
        <w:t>om duplicatie te v</w:t>
      </w:r>
      <w:r w:rsidR="00313BBB">
        <w:rPr>
          <w:rFonts w:cs="Verdana"/>
          <w:szCs w:val="18"/>
        </w:rPr>
        <w:t>oorkomen</w:t>
      </w:r>
      <w:r w:rsidRPr="00ED0285">
        <w:rPr>
          <w:rFonts w:cs="Verdana"/>
          <w:szCs w:val="18"/>
        </w:rPr>
        <w:t>.</w:t>
      </w:r>
      <w:r w:rsidR="00313BBB">
        <w:rPr>
          <w:rFonts w:cs="Verdana"/>
          <w:szCs w:val="18"/>
        </w:rPr>
        <w:t xml:space="preserve"> De unieke rol van het datacentrum </w:t>
      </w:r>
      <w:r w:rsidRPr="00ED0285">
        <w:rPr>
          <w:rFonts w:cs="Verdana"/>
          <w:szCs w:val="18"/>
        </w:rPr>
        <w:t xml:space="preserve">sluit aan bij de coördinerende rol </w:t>
      </w:r>
      <w:r w:rsidR="00313BBB">
        <w:rPr>
          <w:rFonts w:cs="Verdana"/>
          <w:szCs w:val="18"/>
        </w:rPr>
        <w:t>van OCHA.</w:t>
      </w:r>
    </w:p>
    <w:p w14:paraId="3D10B5D5" w14:textId="77777777" w:rsidR="00313BBB" w:rsidRDefault="00313BBB" w:rsidP="00B5432A">
      <w:pPr>
        <w:autoSpaceDE w:val="0"/>
        <w:autoSpaceDN w:val="0"/>
        <w:adjustRightInd w:val="0"/>
        <w:spacing w:line="240" w:lineRule="auto"/>
        <w:rPr>
          <w:rFonts w:cs="Verdana"/>
          <w:szCs w:val="18"/>
        </w:rPr>
      </w:pPr>
    </w:p>
    <w:p w14:paraId="3D10B5D6" w14:textId="77777777" w:rsidR="00B673E2" w:rsidRDefault="00B5432A" w:rsidP="00B5432A">
      <w:pPr>
        <w:autoSpaceDE w:val="0"/>
        <w:autoSpaceDN w:val="0"/>
        <w:adjustRightInd w:val="0"/>
        <w:spacing w:line="240" w:lineRule="auto"/>
        <w:rPr>
          <w:rFonts w:cs="Verdana"/>
          <w:szCs w:val="18"/>
        </w:rPr>
      </w:pPr>
      <w:r w:rsidRPr="00A33D53">
        <w:rPr>
          <w:rFonts w:cs="Verdana"/>
          <w:szCs w:val="18"/>
        </w:rPr>
        <w:t xml:space="preserve">Het </w:t>
      </w:r>
      <w:r>
        <w:rPr>
          <w:rFonts w:cs="Verdana"/>
          <w:szCs w:val="18"/>
        </w:rPr>
        <w:t>centrum</w:t>
      </w:r>
      <w:r w:rsidRPr="00A33D53">
        <w:rPr>
          <w:rFonts w:cs="Verdana"/>
          <w:szCs w:val="18"/>
        </w:rPr>
        <w:t xml:space="preserve"> is niet alleen onderscheidend door zijn innovatie component, maar ook door de samenwerking die het aangaat met publieke en private organisaties.</w:t>
      </w:r>
      <w:r>
        <w:rPr>
          <w:rFonts w:cs="Verdana"/>
          <w:szCs w:val="18"/>
        </w:rPr>
        <w:t xml:space="preserve"> </w:t>
      </w:r>
      <w:r w:rsidRPr="00CD276A">
        <w:rPr>
          <w:rFonts w:cs="Verdana"/>
          <w:szCs w:val="18"/>
        </w:rPr>
        <w:t xml:space="preserve">Google speelde een belangrijke rol in </w:t>
      </w:r>
      <w:r w:rsidR="00313BBB">
        <w:rPr>
          <w:rFonts w:cs="Verdana"/>
          <w:szCs w:val="18"/>
        </w:rPr>
        <w:t>de beginfase van het centrum, samen met</w:t>
      </w:r>
      <w:r w:rsidRPr="00CD276A">
        <w:rPr>
          <w:rFonts w:cs="Verdana"/>
          <w:szCs w:val="18"/>
        </w:rPr>
        <w:t xml:space="preserve"> tientallen bedrijven, kennisinstellingen en humanitaire organisaties. Door deelname van </w:t>
      </w:r>
      <w:r w:rsidR="00313BBB">
        <w:rPr>
          <w:rFonts w:cs="Verdana"/>
          <w:szCs w:val="18"/>
        </w:rPr>
        <w:t xml:space="preserve">private </w:t>
      </w:r>
      <w:r w:rsidRPr="00CD276A">
        <w:rPr>
          <w:rFonts w:cs="Verdana"/>
          <w:szCs w:val="18"/>
        </w:rPr>
        <w:t xml:space="preserve">partijen </w:t>
      </w:r>
      <w:r w:rsidR="00313BBB">
        <w:rPr>
          <w:rFonts w:cs="Verdana"/>
          <w:szCs w:val="18"/>
        </w:rPr>
        <w:t xml:space="preserve">en organisaties </w:t>
      </w:r>
      <w:r w:rsidRPr="00CD276A">
        <w:rPr>
          <w:rFonts w:cs="Verdana"/>
          <w:szCs w:val="18"/>
        </w:rPr>
        <w:t>als Harvard, MIT, USAID, IOM, UNHCR, WFP en het WEF kan het centrum al voor de oprichting rekenen op brede betrokkenheid en steun.</w:t>
      </w:r>
    </w:p>
    <w:p w14:paraId="3D10B5D8" w14:textId="77777777" w:rsidR="008E22BC" w:rsidRPr="00ED2F32" w:rsidRDefault="008E22BC" w:rsidP="00BD7AE6">
      <w:pPr>
        <w:ind w:left="-4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3D10B5DB" w14:textId="77777777" w:rsidTr="00B06CE6">
        <w:tc>
          <w:tcPr>
            <w:tcW w:w="6912" w:type="dxa"/>
            <w:tcBorders>
              <w:top w:val="single" w:sz="12" w:space="0" w:color="auto"/>
              <w:left w:val="single" w:sz="12" w:space="0" w:color="auto"/>
              <w:bottom w:val="single" w:sz="12" w:space="0" w:color="auto"/>
            </w:tcBorders>
            <w:shd w:val="clear" w:color="auto" w:fill="D0CECE"/>
          </w:tcPr>
          <w:p w14:paraId="3D10B5D9"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5DA" w14:textId="77777777" w:rsidR="002A310E" w:rsidRPr="00EA0AA8" w:rsidRDefault="002A310E" w:rsidP="00382AE3">
            <w:pPr>
              <w:rPr>
                <w:b/>
              </w:rPr>
            </w:pPr>
            <w:r w:rsidRPr="00EA0AA8">
              <w:rPr>
                <w:b/>
              </w:rPr>
              <w:t>Score</w:t>
            </w:r>
          </w:p>
        </w:tc>
      </w:tr>
      <w:tr w:rsidR="002A310E" w14:paraId="3D10B5DE" w14:textId="77777777" w:rsidTr="00382AE3">
        <w:tc>
          <w:tcPr>
            <w:tcW w:w="6912" w:type="dxa"/>
            <w:tcBorders>
              <w:top w:val="single" w:sz="12" w:space="0" w:color="auto"/>
              <w:left w:val="single" w:sz="12" w:space="0" w:color="auto"/>
            </w:tcBorders>
            <w:shd w:val="clear" w:color="auto" w:fill="auto"/>
          </w:tcPr>
          <w:p w14:paraId="3D10B5DC" w14:textId="77777777" w:rsidR="002A310E" w:rsidRDefault="00CD7B6F" w:rsidP="00382AE3">
            <w:r>
              <w:t>Partnerschappen met andere organisaties</w:t>
            </w:r>
          </w:p>
        </w:tc>
        <w:tc>
          <w:tcPr>
            <w:tcW w:w="955" w:type="dxa"/>
            <w:tcBorders>
              <w:top w:val="single" w:sz="12" w:space="0" w:color="auto"/>
              <w:right w:val="single" w:sz="12" w:space="0" w:color="auto"/>
            </w:tcBorders>
            <w:shd w:val="clear" w:color="auto" w:fill="auto"/>
          </w:tcPr>
          <w:p w14:paraId="3D10B5DD" w14:textId="77777777" w:rsidR="002A310E" w:rsidRDefault="00B673E2" w:rsidP="00382AE3">
            <w:r>
              <w:t>4</w:t>
            </w:r>
          </w:p>
        </w:tc>
      </w:tr>
      <w:tr w:rsidR="002A310E" w14:paraId="3D10B5E1" w14:textId="77777777" w:rsidTr="00382AE3">
        <w:tc>
          <w:tcPr>
            <w:tcW w:w="6912" w:type="dxa"/>
            <w:tcBorders>
              <w:left w:val="single" w:sz="12" w:space="0" w:color="auto"/>
            </w:tcBorders>
            <w:shd w:val="clear" w:color="auto" w:fill="auto"/>
          </w:tcPr>
          <w:p w14:paraId="3D10B5DF" w14:textId="77777777" w:rsidR="002A310E" w:rsidRDefault="00CD7B6F" w:rsidP="00382AE3">
            <w:r>
              <w:t>Visie en rol partnerschappen</w:t>
            </w:r>
          </w:p>
        </w:tc>
        <w:tc>
          <w:tcPr>
            <w:tcW w:w="955" w:type="dxa"/>
            <w:tcBorders>
              <w:right w:val="single" w:sz="12" w:space="0" w:color="auto"/>
            </w:tcBorders>
            <w:shd w:val="clear" w:color="auto" w:fill="auto"/>
          </w:tcPr>
          <w:p w14:paraId="3D10B5E0" w14:textId="77777777" w:rsidR="002A310E" w:rsidRDefault="001F0341" w:rsidP="00382AE3">
            <w:r>
              <w:t>3</w:t>
            </w:r>
          </w:p>
        </w:tc>
      </w:tr>
      <w:tr w:rsidR="002A310E" w14:paraId="3D10B5E4" w14:textId="77777777" w:rsidTr="00382AE3">
        <w:tc>
          <w:tcPr>
            <w:tcW w:w="6912" w:type="dxa"/>
            <w:tcBorders>
              <w:left w:val="single" w:sz="12" w:space="0" w:color="auto"/>
            </w:tcBorders>
            <w:shd w:val="clear" w:color="auto" w:fill="auto"/>
          </w:tcPr>
          <w:p w14:paraId="3D10B5E2" w14:textId="77777777" w:rsidR="002A310E" w:rsidRDefault="00CD7B6F" w:rsidP="00C447C0">
            <w:r>
              <w:t>Aanslu</w:t>
            </w:r>
            <w:r w:rsidR="00C447C0">
              <w:t>iting partnerschappen met andere actoren</w:t>
            </w:r>
          </w:p>
        </w:tc>
        <w:tc>
          <w:tcPr>
            <w:tcW w:w="955" w:type="dxa"/>
            <w:tcBorders>
              <w:right w:val="single" w:sz="12" w:space="0" w:color="auto"/>
            </w:tcBorders>
            <w:shd w:val="clear" w:color="auto" w:fill="auto"/>
          </w:tcPr>
          <w:p w14:paraId="3D10B5E3" w14:textId="77777777" w:rsidR="002A310E" w:rsidRDefault="00B673E2" w:rsidP="00382AE3">
            <w:r>
              <w:t>4</w:t>
            </w:r>
          </w:p>
        </w:tc>
      </w:tr>
      <w:tr w:rsidR="00422948" w14:paraId="3D10B5E7" w14:textId="77777777" w:rsidTr="00382AE3">
        <w:tc>
          <w:tcPr>
            <w:tcW w:w="6912" w:type="dxa"/>
            <w:tcBorders>
              <w:left w:val="single" w:sz="12" w:space="0" w:color="auto"/>
            </w:tcBorders>
            <w:shd w:val="clear" w:color="auto" w:fill="auto"/>
          </w:tcPr>
          <w:p w14:paraId="3D10B5E5" w14:textId="77777777" w:rsidR="00422948" w:rsidRDefault="00072371" w:rsidP="00C447C0">
            <w:r>
              <w:t>Samenwerking en coördinatie overige actoren</w:t>
            </w:r>
          </w:p>
        </w:tc>
        <w:tc>
          <w:tcPr>
            <w:tcW w:w="955" w:type="dxa"/>
            <w:tcBorders>
              <w:right w:val="single" w:sz="12" w:space="0" w:color="auto"/>
            </w:tcBorders>
            <w:shd w:val="clear" w:color="auto" w:fill="auto"/>
          </w:tcPr>
          <w:p w14:paraId="3D10B5E6" w14:textId="77777777" w:rsidR="00422948" w:rsidRDefault="00B673E2" w:rsidP="00382AE3">
            <w:r>
              <w:t>4</w:t>
            </w:r>
          </w:p>
        </w:tc>
      </w:tr>
      <w:tr w:rsidR="002A310E" w:rsidRPr="00EA0AA8" w14:paraId="3D10B5EA" w14:textId="77777777" w:rsidTr="00B06CE6">
        <w:tc>
          <w:tcPr>
            <w:tcW w:w="6912" w:type="dxa"/>
            <w:tcBorders>
              <w:top w:val="single" w:sz="12" w:space="0" w:color="auto"/>
              <w:left w:val="single" w:sz="12" w:space="0" w:color="auto"/>
              <w:bottom w:val="single" w:sz="12" w:space="0" w:color="auto"/>
            </w:tcBorders>
            <w:shd w:val="clear" w:color="auto" w:fill="D0CECE"/>
          </w:tcPr>
          <w:p w14:paraId="3D10B5E8"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5E9" w14:textId="77777777" w:rsidR="002A310E" w:rsidRPr="00EA0AA8" w:rsidRDefault="00B673E2" w:rsidP="00382AE3">
            <w:pPr>
              <w:rPr>
                <w:b/>
              </w:rPr>
            </w:pPr>
            <w:r>
              <w:rPr>
                <w:b/>
              </w:rPr>
              <w:t>4</w:t>
            </w:r>
          </w:p>
        </w:tc>
      </w:tr>
    </w:tbl>
    <w:p w14:paraId="3BFCACAE" w14:textId="77777777" w:rsidR="00633895" w:rsidRDefault="00633895" w:rsidP="00687998"/>
    <w:p w14:paraId="3D10B5EB" w14:textId="7BB72468" w:rsidR="00687998" w:rsidRDefault="00687998" w:rsidP="00633895">
      <w:pPr>
        <w:ind w:firstLine="227"/>
        <w:rPr>
          <w:b/>
        </w:rPr>
      </w:pPr>
      <w:r w:rsidRPr="00193994">
        <w:t>Ver</w:t>
      </w:r>
      <w:r>
        <w:t>andering sinds 2015: neutraal</w:t>
      </w:r>
      <w:r w:rsidRPr="00193994">
        <w:t xml:space="preserve"> = </w:t>
      </w:r>
      <w:r w:rsidRPr="00193994">
        <w:sym w:font="Wingdings" w:char="F0E8"/>
      </w:r>
    </w:p>
    <w:p w14:paraId="3D10B5EC" w14:textId="77777777" w:rsidR="00B54564" w:rsidRDefault="00B54564" w:rsidP="003412ED"/>
    <w:p w14:paraId="3D10B5ED" w14:textId="14FCD498" w:rsidR="00DE343C" w:rsidRPr="006B1F66" w:rsidRDefault="00633895" w:rsidP="004D372F">
      <w:pPr>
        <w:pStyle w:val="Heading2"/>
        <w:tabs>
          <w:tab w:val="left" w:pos="-1162"/>
          <w:tab w:val="left" w:pos="0"/>
          <w:tab w:val="num" w:pos="1160"/>
        </w:tabs>
        <w:spacing w:line="240" w:lineRule="auto"/>
        <w:ind w:hanging="1162"/>
      </w:pPr>
      <w:bookmarkStart w:id="31" w:name="_Toc410140903"/>
      <w:bookmarkStart w:id="32" w:name="_Toc491439706"/>
      <w:r>
        <w:t>4</w:t>
      </w:r>
      <w:r w:rsidR="004D372F" w:rsidRPr="004D372F">
        <w:t>.</w:t>
      </w:r>
      <w:r w:rsidR="00A74DEC">
        <w:t>4</w:t>
      </w:r>
      <w:r w:rsidR="004D372F" w:rsidRPr="004D372F">
        <w:t xml:space="preserve"> </w:t>
      </w:r>
      <w:r w:rsidR="0031751C">
        <w:tab/>
      </w:r>
      <w:r w:rsidR="00CD7B6F" w:rsidRPr="006B1F66">
        <w:t>Operationeel management</w:t>
      </w:r>
      <w:bookmarkEnd w:id="31"/>
      <w:bookmarkEnd w:id="32"/>
    </w:p>
    <w:p w14:paraId="3D10B5EF" w14:textId="12A01304" w:rsidR="006900C0" w:rsidRPr="001227FB" w:rsidRDefault="00C04B71" w:rsidP="001227FB">
      <w:r>
        <w:t xml:space="preserve">De uitkomsten van de in 2016 uitgevoerde </w:t>
      </w:r>
      <w:proofErr w:type="spellStart"/>
      <w:r w:rsidRPr="00313BBB">
        <w:rPr>
          <w:i/>
        </w:rPr>
        <w:t>Functional</w:t>
      </w:r>
      <w:proofErr w:type="spellEnd"/>
      <w:r w:rsidRPr="00313BBB">
        <w:rPr>
          <w:i/>
        </w:rPr>
        <w:t xml:space="preserve"> Review</w:t>
      </w:r>
      <w:r>
        <w:t xml:space="preserve"> lieten tekortkomingen zien in het </w:t>
      </w:r>
      <w:r w:rsidR="00B76C7F">
        <w:t xml:space="preserve">(financieel) </w:t>
      </w:r>
      <w:r>
        <w:t xml:space="preserve">management, in de organisatiestructuur en in de mate </w:t>
      </w:r>
      <w:r>
        <w:lastRenderedPageBreak/>
        <w:t xml:space="preserve">waarin OCHA een duidelijke strategische visie uitdraagt </w:t>
      </w:r>
      <w:r w:rsidR="001626C6">
        <w:t xml:space="preserve">die in samenhang is met de </w:t>
      </w:r>
      <w:r>
        <w:t>inzet van middelen</w:t>
      </w:r>
      <w:r w:rsidR="001626C6">
        <w:t xml:space="preserve">. </w:t>
      </w:r>
      <w:r>
        <w:t xml:space="preserve">Bevoegdheden zijn gedelegeerd naar landenniveau, waarbij regionale kantoren een ondersteunende functie hebben </w:t>
      </w:r>
      <w:r w:rsidR="001626C6">
        <w:t xml:space="preserve">ten aanzien van </w:t>
      </w:r>
      <w:r w:rsidR="00B76C7F">
        <w:t>landenkantoren op het gebied van planning, expertise en analyse. Het individuele landenbeleid wordt vormgegeven in het Strategic Plan, waarbij kerntaken als co</w:t>
      </w:r>
      <w:r w:rsidR="006B1F66">
        <w:t>ö</w:t>
      </w:r>
      <w:r w:rsidR="00B76C7F">
        <w:t xml:space="preserve">rdinatie, </w:t>
      </w:r>
      <w:proofErr w:type="spellStart"/>
      <w:r w:rsidR="00B76C7F" w:rsidRPr="00AD6A8B">
        <w:rPr>
          <w:i/>
        </w:rPr>
        <w:t>advocacy</w:t>
      </w:r>
      <w:proofErr w:type="spellEnd"/>
      <w:r w:rsidR="00B76C7F">
        <w:t xml:space="preserve"> en informatiemanagement op natio</w:t>
      </w:r>
      <w:r w:rsidR="00B13344">
        <w:t xml:space="preserve">naal niveau worden uitgevoerd. </w:t>
      </w:r>
      <w:r w:rsidR="00B76C7F">
        <w:t>Aangezien OCHA zelf geen projecten implementeer</w:t>
      </w:r>
      <w:r w:rsidR="00313BBB">
        <w:t>t</w:t>
      </w:r>
      <w:r w:rsidR="00B76C7F">
        <w:t xml:space="preserve"> is </w:t>
      </w:r>
      <w:r w:rsidR="00FE1DEC">
        <w:t xml:space="preserve">in principe </w:t>
      </w:r>
      <w:r w:rsidR="00313BBB">
        <w:t>geen</w:t>
      </w:r>
      <w:r w:rsidR="00B76C7F">
        <w:t xml:space="preserve"> sprake van projectbeheer </w:t>
      </w:r>
      <w:r w:rsidR="00313BBB">
        <w:t>of</w:t>
      </w:r>
      <w:r w:rsidR="006900C0">
        <w:t xml:space="preserve"> uitbesteding aan derden.</w:t>
      </w:r>
      <w:r w:rsidR="00FE1DEC">
        <w:t xml:space="preserve"> In </w:t>
      </w:r>
      <w:r w:rsidR="007636F4">
        <w:t>enkele</w:t>
      </w:r>
      <w:r w:rsidR="00FE1DEC">
        <w:t xml:space="preserve"> gevallen</w:t>
      </w:r>
      <w:r w:rsidR="007636F4">
        <w:t xml:space="preserve"> (</w:t>
      </w:r>
      <w:r w:rsidR="006B1F66">
        <w:t>bijv.</w:t>
      </w:r>
      <w:r w:rsidR="007636F4">
        <w:t xml:space="preserve"> Syri</w:t>
      </w:r>
      <w:r w:rsidR="006B1F66">
        <w:t>ë</w:t>
      </w:r>
      <w:r w:rsidR="001227FB">
        <w:t>,</w:t>
      </w:r>
      <w:r w:rsidR="007636F4">
        <w:t xml:space="preserve"> Irak)</w:t>
      </w:r>
      <w:r w:rsidR="00FE1DEC">
        <w:t xml:space="preserve"> wordt voor </w:t>
      </w:r>
      <w:proofErr w:type="spellStart"/>
      <w:r w:rsidR="001227FB">
        <w:t>OCHA’s</w:t>
      </w:r>
      <w:proofErr w:type="spellEnd"/>
      <w:r w:rsidR="00FE1DEC">
        <w:t xml:space="preserve"> kerntaken op het gebied van </w:t>
      </w:r>
      <w:r w:rsidR="001227FB">
        <w:t>i</w:t>
      </w:r>
      <w:r w:rsidR="00FE1DEC">
        <w:t>nformatie</w:t>
      </w:r>
      <w:r w:rsidR="006B1F66">
        <w:t>m</w:t>
      </w:r>
      <w:r w:rsidR="00FE1DEC">
        <w:t xml:space="preserve">anagement samengewerkt met uitvoerders die daarbij echter op de ‘payroll’ staan van donoren en niet van OCHA. Hierbij kan gedacht worden aan de internationale </w:t>
      </w:r>
      <w:r w:rsidR="007636F4">
        <w:t>organisaties</w:t>
      </w:r>
      <w:r w:rsidR="00FE1DEC">
        <w:t xml:space="preserve"> REACH en IMMAP die </w:t>
      </w:r>
      <w:r w:rsidR="007636F4">
        <w:t xml:space="preserve">respectievelijk in </w:t>
      </w:r>
      <w:proofErr w:type="spellStart"/>
      <w:r w:rsidR="007636F4" w:rsidRPr="001A50E9">
        <w:rPr>
          <w:i/>
        </w:rPr>
        <w:t>rapid</w:t>
      </w:r>
      <w:proofErr w:type="spellEnd"/>
      <w:r w:rsidR="007636F4" w:rsidRPr="001A50E9">
        <w:rPr>
          <w:i/>
        </w:rPr>
        <w:t xml:space="preserve"> </w:t>
      </w:r>
      <w:proofErr w:type="spellStart"/>
      <w:r w:rsidR="007636F4" w:rsidRPr="001A50E9">
        <w:rPr>
          <w:i/>
        </w:rPr>
        <w:t>needs</w:t>
      </w:r>
      <w:proofErr w:type="spellEnd"/>
      <w:r w:rsidR="007636F4" w:rsidRPr="001A50E9">
        <w:rPr>
          <w:i/>
        </w:rPr>
        <w:t xml:space="preserve"> assessments</w:t>
      </w:r>
      <w:r w:rsidR="007636F4">
        <w:t xml:space="preserve"> en cartografie van noden een rol spele</w:t>
      </w:r>
      <w:r w:rsidR="00245C73">
        <w:t>n, soms werkend vanuit een OCHA-</w:t>
      </w:r>
      <w:r w:rsidR="007636F4">
        <w:t>landenkantoor.</w:t>
      </w:r>
      <w:r w:rsidR="001227FB" w:rsidRPr="001227FB">
        <w:t xml:space="preserve"> De kwaliteit en snelheid van de informatie die deze specialistische organisaties kunnen leveren vormen een goede aanvulling op het werk van OCHA en worden met waardering ontvangen door uitvoerende organisaties</w:t>
      </w:r>
      <w:r w:rsidR="001227FB">
        <w:t>, zek</w:t>
      </w:r>
      <w:r w:rsidR="001227FB" w:rsidRPr="001227FB">
        <w:t>er in situaties waar het bereik van OCHA ‘in het veld’ beperkt is. Voorwaarde is wel dat deze exte</w:t>
      </w:r>
      <w:r w:rsidR="00460FF3">
        <w:t>rne organisaties binnen de OCHA-</w:t>
      </w:r>
      <w:r w:rsidR="001227FB" w:rsidRPr="001227FB">
        <w:t>structuur werken wat voor Syrië en Irak goed lijkt te lukken.</w:t>
      </w:r>
    </w:p>
    <w:p w14:paraId="3D10B5F0" w14:textId="77777777" w:rsidR="005F5DFA" w:rsidRDefault="005F5DFA" w:rsidP="005F5DFA"/>
    <w:p w14:paraId="3D10B5F1" w14:textId="7D0FAFD7" w:rsidR="005F5DFA" w:rsidRDefault="007636F4" w:rsidP="005F5DFA">
      <w:r>
        <w:t xml:space="preserve">In crises waarbij sprake is van </w:t>
      </w:r>
      <w:r w:rsidR="001A50E9">
        <w:t>o</w:t>
      </w:r>
      <w:r>
        <w:t xml:space="preserve">ntheemden is </w:t>
      </w:r>
      <w:proofErr w:type="spellStart"/>
      <w:r>
        <w:t>OCHA</w:t>
      </w:r>
      <w:r w:rsidR="006B1F66">
        <w:t>’</w:t>
      </w:r>
      <w:r>
        <w:t>s</w:t>
      </w:r>
      <w:proofErr w:type="spellEnd"/>
      <w:r>
        <w:t xml:space="preserve"> toegevoegde waarde het meest duidelijk en wordt sterk overeenkomstig centrale doelstellingen gehandeld. In crises waar sprake is van een langdurige vluchtelingensituatie die niet gecombineerd wordt met een cris</w:t>
      </w:r>
      <w:r w:rsidR="001A50E9">
        <w:t>i</w:t>
      </w:r>
      <w:r>
        <w:t xml:space="preserve">s in dat gastland loopt OCHA risico’s </w:t>
      </w:r>
      <w:r w:rsidR="001A50E9">
        <w:t>zijn</w:t>
      </w:r>
      <w:r>
        <w:t xml:space="preserve"> mandaat te kunstmatig uit te voeren. Hechte samenwerk</w:t>
      </w:r>
      <w:r w:rsidR="00DA0F6C">
        <w:t>ing tussen de HC/RC en de UNHCR-</w:t>
      </w:r>
      <w:r>
        <w:t>directeur is in dit soort situaties cruciaal om te zorgen dat een OCHA landenkantoor blijft handelen in overeenstemming met de centrale doelstellingen</w:t>
      </w:r>
      <w:r w:rsidR="001A50E9">
        <w:t>.</w:t>
      </w:r>
      <w:r w:rsidR="002648E1">
        <w:t xml:space="preserve"> Tegelijk is het belangrijk te erkennen dat OCHA de enige coördinerende</w:t>
      </w:r>
      <w:r w:rsidR="00DA0F6C">
        <w:t xml:space="preserve"> VN-</w:t>
      </w:r>
      <w:r w:rsidR="002648E1">
        <w:t xml:space="preserve">organisatie is die niet concurreert </w:t>
      </w:r>
      <w:r w:rsidR="001A50E9">
        <w:t xml:space="preserve">met anderen </w:t>
      </w:r>
      <w:r w:rsidR="002648E1">
        <w:t>om fondsen</w:t>
      </w:r>
      <w:r w:rsidR="001A50E9">
        <w:t xml:space="preserve"> voor uitvoering</w:t>
      </w:r>
      <w:r w:rsidR="002648E1">
        <w:t xml:space="preserve">. </w:t>
      </w:r>
    </w:p>
    <w:p w14:paraId="3D10B5F2" w14:textId="77777777" w:rsidR="007636F4" w:rsidRDefault="007636F4" w:rsidP="005F5DFA"/>
    <w:p w14:paraId="3D10B5F3" w14:textId="77777777" w:rsidR="007636F4" w:rsidRDefault="007636F4" w:rsidP="005F5DFA">
      <w:r>
        <w:t>In het Midden</w:t>
      </w:r>
      <w:r w:rsidR="001A50E9">
        <w:t>-</w:t>
      </w:r>
      <w:r>
        <w:t>Oosten staan overheden centraal in de respons</w:t>
      </w:r>
      <w:r w:rsidR="001A50E9">
        <w:t>,</w:t>
      </w:r>
      <w:r>
        <w:t xml:space="preserve"> met wisselende resultaten. OCHA vervult een sleutelfunctie op het gebied van kwaliteit maar ook neutraliteit van hulpverlening die niet altijd even </w:t>
      </w:r>
      <w:r w:rsidR="001A50E9">
        <w:t>ge</w:t>
      </w:r>
      <w:r>
        <w:t>makkelijk wordt begrepen door de gastlanden. Zowel donoren als OCHA kunnen werken aan meer begrip voor de sleutelfunctie van OCHA in dit soort situaties.</w:t>
      </w:r>
    </w:p>
    <w:p w14:paraId="3D10B5F4"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D10B5F7" w14:textId="77777777" w:rsidTr="00B06CE6">
        <w:tc>
          <w:tcPr>
            <w:tcW w:w="6912" w:type="dxa"/>
            <w:tcBorders>
              <w:top w:val="single" w:sz="12" w:space="0" w:color="auto"/>
              <w:left w:val="single" w:sz="12" w:space="0" w:color="auto"/>
              <w:bottom w:val="single" w:sz="12" w:space="0" w:color="auto"/>
            </w:tcBorders>
            <w:shd w:val="clear" w:color="auto" w:fill="D0CECE"/>
          </w:tcPr>
          <w:p w14:paraId="3D10B5F5"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5F6" w14:textId="77777777" w:rsidR="002A310E" w:rsidRPr="00EA0AA8" w:rsidRDefault="002A310E" w:rsidP="00382AE3">
            <w:pPr>
              <w:rPr>
                <w:b/>
              </w:rPr>
            </w:pPr>
            <w:r w:rsidRPr="00EA0AA8">
              <w:rPr>
                <w:b/>
              </w:rPr>
              <w:t>Score</w:t>
            </w:r>
          </w:p>
        </w:tc>
      </w:tr>
      <w:tr w:rsidR="002A310E" w14:paraId="3D10B5FA" w14:textId="77777777" w:rsidTr="00382AE3">
        <w:tc>
          <w:tcPr>
            <w:tcW w:w="6912" w:type="dxa"/>
            <w:tcBorders>
              <w:top w:val="single" w:sz="12" w:space="0" w:color="auto"/>
              <w:left w:val="single" w:sz="12" w:space="0" w:color="auto"/>
            </w:tcBorders>
            <w:shd w:val="clear" w:color="auto" w:fill="auto"/>
          </w:tcPr>
          <w:p w14:paraId="3D10B5F8" w14:textId="77777777" w:rsidR="002A310E" w:rsidRDefault="008A646F" w:rsidP="00382AE3">
            <w:r>
              <w:t>Delegatie van bevoegdheden</w:t>
            </w:r>
          </w:p>
        </w:tc>
        <w:tc>
          <w:tcPr>
            <w:tcW w:w="955" w:type="dxa"/>
            <w:tcBorders>
              <w:top w:val="single" w:sz="12" w:space="0" w:color="auto"/>
              <w:right w:val="single" w:sz="12" w:space="0" w:color="auto"/>
            </w:tcBorders>
            <w:shd w:val="clear" w:color="auto" w:fill="auto"/>
          </w:tcPr>
          <w:p w14:paraId="3D10B5F9" w14:textId="77777777" w:rsidR="002A310E" w:rsidRDefault="00B76C7F" w:rsidP="00382AE3">
            <w:r>
              <w:t>3</w:t>
            </w:r>
          </w:p>
        </w:tc>
      </w:tr>
      <w:tr w:rsidR="002A310E" w14:paraId="3D10B5FD" w14:textId="77777777" w:rsidTr="00382AE3">
        <w:tc>
          <w:tcPr>
            <w:tcW w:w="6912" w:type="dxa"/>
            <w:tcBorders>
              <w:left w:val="single" w:sz="12" w:space="0" w:color="auto"/>
            </w:tcBorders>
            <w:shd w:val="clear" w:color="auto" w:fill="auto"/>
          </w:tcPr>
          <w:p w14:paraId="3D10B5FB" w14:textId="77777777" w:rsidR="002A310E" w:rsidRDefault="008A646F" w:rsidP="00382AE3">
            <w:r>
              <w:t>Projectbeheer en financieel beheer</w:t>
            </w:r>
          </w:p>
        </w:tc>
        <w:tc>
          <w:tcPr>
            <w:tcW w:w="955" w:type="dxa"/>
            <w:tcBorders>
              <w:right w:val="single" w:sz="12" w:space="0" w:color="auto"/>
            </w:tcBorders>
            <w:shd w:val="clear" w:color="auto" w:fill="auto"/>
          </w:tcPr>
          <w:p w14:paraId="3D10B5FC" w14:textId="77777777" w:rsidR="002A310E" w:rsidRDefault="00B76C7F" w:rsidP="00382AE3">
            <w:r>
              <w:t>2</w:t>
            </w:r>
          </w:p>
        </w:tc>
      </w:tr>
      <w:tr w:rsidR="002A310E" w14:paraId="3D10B600" w14:textId="77777777" w:rsidTr="00382AE3">
        <w:tc>
          <w:tcPr>
            <w:tcW w:w="6912" w:type="dxa"/>
            <w:tcBorders>
              <w:left w:val="single" w:sz="12" w:space="0" w:color="auto"/>
            </w:tcBorders>
            <w:shd w:val="clear" w:color="auto" w:fill="auto"/>
          </w:tcPr>
          <w:p w14:paraId="3D10B5FE" w14:textId="77777777" w:rsidR="002A310E" w:rsidRDefault="008A646F" w:rsidP="00382AE3">
            <w:r>
              <w:t>Verantwoordelijkheden en bevoegdheden decentrale kantoren</w:t>
            </w:r>
          </w:p>
        </w:tc>
        <w:tc>
          <w:tcPr>
            <w:tcW w:w="955" w:type="dxa"/>
            <w:tcBorders>
              <w:right w:val="single" w:sz="12" w:space="0" w:color="auto"/>
            </w:tcBorders>
            <w:shd w:val="clear" w:color="auto" w:fill="auto"/>
          </w:tcPr>
          <w:p w14:paraId="3D10B5FF" w14:textId="77777777" w:rsidR="002A310E" w:rsidRDefault="00B76C7F" w:rsidP="00382AE3">
            <w:r>
              <w:t>3</w:t>
            </w:r>
          </w:p>
        </w:tc>
      </w:tr>
      <w:tr w:rsidR="002A310E" w14:paraId="3D10B603" w14:textId="77777777" w:rsidTr="00382AE3">
        <w:tc>
          <w:tcPr>
            <w:tcW w:w="6912" w:type="dxa"/>
            <w:tcBorders>
              <w:left w:val="single" w:sz="12" w:space="0" w:color="auto"/>
              <w:bottom w:val="single" w:sz="12" w:space="0" w:color="auto"/>
            </w:tcBorders>
            <w:shd w:val="clear" w:color="auto" w:fill="auto"/>
          </w:tcPr>
          <w:p w14:paraId="3D10B601" w14:textId="77777777" w:rsidR="002A310E" w:rsidRDefault="008A646F" w:rsidP="00382AE3">
            <w:r>
              <w:t>Gebruik van lokale partners en systemen</w:t>
            </w:r>
          </w:p>
        </w:tc>
        <w:tc>
          <w:tcPr>
            <w:tcW w:w="955" w:type="dxa"/>
            <w:tcBorders>
              <w:bottom w:val="single" w:sz="12" w:space="0" w:color="auto"/>
              <w:right w:val="single" w:sz="12" w:space="0" w:color="auto"/>
            </w:tcBorders>
            <w:shd w:val="clear" w:color="auto" w:fill="auto"/>
          </w:tcPr>
          <w:p w14:paraId="3D10B602" w14:textId="77777777" w:rsidR="002A310E" w:rsidRDefault="00B76C7F" w:rsidP="00382AE3">
            <w:r>
              <w:t>3</w:t>
            </w:r>
          </w:p>
        </w:tc>
      </w:tr>
      <w:tr w:rsidR="002A310E" w:rsidRPr="00EA0AA8" w14:paraId="3D10B606" w14:textId="77777777" w:rsidTr="00B06CE6">
        <w:tc>
          <w:tcPr>
            <w:tcW w:w="6912" w:type="dxa"/>
            <w:tcBorders>
              <w:top w:val="single" w:sz="12" w:space="0" w:color="auto"/>
              <w:left w:val="single" w:sz="12" w:space="0" w:color="auto"/>
              <w:bottom w:val="single" w:sz="12" w:space="0" w:color="auto"/>
            </w:tcBorders>
            <w:shd w:val="clear" w:color="auto" w:fill="D0CECE"/>
          </w:tcPr>
          <w:p w14:paraId="3D10B60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05" w14:textId="77777777" w:rsidR="002A310E" w:rsidRPr="00EA0AA8" w:rsidRDefault="00255FA6" w:rsidP="00382AE3">
            <w:pPr>
              <w:rPr>
                <w:b/>
              </w:rPr>
            </w:pPr>
            <w:r>
              <w:rPr>
                <w:b/>
              </w:rPr>
              <w:t>3</w:t>
            </w:r>
          </w:p>
        </w:tc>
      </w:tr>
    </w:tbl>
    <w:p w14:paraId="4D539A11" w14:textId="77777777" w:rsidR="00633895" w:rsidRDefault="00633895" w:rsidP="0038028B"/>
    <w:p w14:paraId="3D10B607" w14:textId="58BB336C" w:rsidR="0038028B" w:rsidRDefault="0038028B" w:rsidP="00633895">
      <w:pPr>
        <w:ind w:firstLine="227"/>
        <w:rPr>
          <w:b/>
        </w:rPr>
      </w:pPr>
      <w:r w:rsidRPr="00193994">
        <w:t>Ver</w:t>
      </w:r>
      <w:r>
        <w:t xml:space="preserve">andering sinds 2015: </w:t>
      </w:r>
      <w:r w:rsidR="00D6496B">
        <w:t>neutraal</w:t>
      </w:r>
      <w:r w:rsidRPr="00193994">
        <w:t xml:space="preserve"> = </w:t>
      </w:r>
      <w:r w:rsidR="00D6496B" w:rsidRPr="00193994">
        <w:sym w:font="Wingdings" w:char="F0E8"/>
      </w:r>
    </w:p>
    <w:p w14:paraId="3D10B608" w14:textId="77777777" w:rsidR="002A310E" w:rsidRDefault="002A310E" w:rsidP="0038028B">
      <w:pPr>
        <w:tabs>
          <w:tab w:val="left" w:pos="483"/>
        </w:tabs>
      </w:pPr>
    </w:p>
    <w:p w14:paraId="3D10B609" w14:textId="7687427D" w:rsidR="003A32D7" w:rsidRDefault="00633895" w:rsidP="003A32D7">
      <w:pPr>
        <w:pStyle w:val="Heading2"/>
        <w:tabs>
          <w:tab w:val="left" w:pos="-1162"/>
          <w:tab w:val="left" w:pos="0"/>
          <w:tab w:val="num" w:pos="1160"/>
        </w:tabs>
        <w:spacing w:line="240" w:lineRule="auto"/>
        <w:ind w:hanging="1162"/>
        <w:rPr>
          <w:b w:val="0"/>
        </w:rPr>
      </w:pPr>
      <w:bookmarkStart w:id="33" w:name="_Toc491439707"/>
      <w:r>
        <w:t>4</w:t>
      </w:r>
      <w:r w:rsidR="00E276B2">
        <w:t>.</w:t>
      </w:r>
      <w:r w:rsidR="00A74DEC">
        <w:t>5</w:t>
      </w:r>
      <w:r w:rsidR="00E276B2">
        <w:tab/>
      </w:r>
      <w:r w:rsidR="003A32D7" w:rsidRPr="004D372F">
        <w:t>Beleidsevaluatie</w:t>
      </w:r>
      <w:bookmarkEnd w:id="33"/>
    </w:p>
    <w:p w14:paraId="3D10B60B" w14:textId="631368F9" w:rsidR="00AD5CFB" w:rsidRPr="00717B40" w:rsidRDefault="00D947E9" w:rsidP="00AD5CFB">
      <w:proofErr w:type="spellStart"/>
      <w:r>
        <w:t>OCHA’s</w:t>
      </w:r>
      <w:proofErr w:type="spellEnd"/>
      <w:r>
        <w:t xml:space="preserve"> evaluatiebeleid stamt uit 2010, dat in samenhang met de opvolging van de aanbevelingen van de </w:t>
      </w:r>
      <w:proofErr w:type="spellStart"/>
      <w:r w:rsidRPr="00D947E9">
        <w:rPr>
          <w:i/>
        </w:rPr>
        <w:t>Functional</w:t>
      </w:r>
      <w:proofErr w:type="spellEnd"/>
      <w:r w:rsidRPr="00D947E9">
        <w:rPr>
          <w:i/>
        </w:rPr>
        <w:t xml:space="preserve"> Review</w:t>
      </w:r>
      <w:r>
        <w:t xml:space="preserve"> zal worden geactualiseerd. </w:t>
      </w:r>
      <w:r w:rsidR="00AD5CFB">
        <w:t>OCHA voert evaluaties uit ter bevordering van transparantie, verantwoordelijkheid en de mogelijkheid om te leren. Deze evaluaties worden uitgevoerd door externe experts om betrouwbaarheid, transparantie en onafhankelijkheid te bevorderen. OCHA werkt samen</w:t>
      </w:r>
      <w:r w:rsidR="00AD5CFB" w:rsidRPr="00717B40">
        <w:t xml:space="preserve"> met anderen om te verzekeren dat er een gecoördineerde benadering van de evaluatie van humanitaire hulp is. </w:t>
      </w:r>
    </w:p>
    <w:p w14:paraId="3D10B60C" w14:textId="77777777" w:rsidR="00AD5CFB" w:rsidRPr="00717B40" w:rsidRDefault="00AD5CFB" w:rsidP="00AD5CFB"/>
    <w:p w14:paraId="3D10B60D" w14:textId="77777777" w:rsidR="00AD5CFB" w:rsidRDefault="00AD5CFB" w:rsidP="00AD5CFB">
      <w:r>
        <w:lastRenderedPageBreak/>
        <w:t xml:space="preserve">In </w:t>
      </w:r>
      <w:proofErr w:type="spellStart"/>
      <w:r>
        <w:t>OCHA’s</w:t>
      </w:r>
      <w:proofErr w:type="spellEnd"/>
      <w:r>
        <w:t xml:space="preserve"> strategische planning is een monitoring- en evaluatieplan meegenomen waarin staat wat geëvalueerd zal worden. OCHA is namens IASC verantwoordelijk voor het uitvoeren van </w:t>
      </w:r>
      <w:proofErr w:type="spellStart"/>
      <w:r>
        <w:rPr>
          <w:i/>
        </w:rPr>
        <w:t>Inter</w:t>
      </w:r>
      <w:proofErr w:type="spellEnd"/>
      <w:r>
        <w:rPr>
          <w:i/>
        </w:rPr>
        <w:t xml:space="preserve">-Agency </w:t>
      </w:r>
      <w:proofErr w:type="spellStart"/>
      <w:r>
        <w:rPr>
          <w:i/>
        </w:rPr>
        <w:t>Humanitarian</w:t>
      </w:r>
      <w:proofErr w:type="spellEnd"/>
      <w:r>
        <w:rPr>
          <w:i/>
        </w:rPr>
        <w:t xml:space="preserve"> </w:t>
      </w:r>
      <w:proofErr w:type="spellStart"/>
      <w:r>
        <w:rPr>
          <w:i/>
        </w:rPr>
        <w:t>Evaluations</w:t>
      </w:r>
      <w:proofErr w:type="spellEnd"/>
      <w:r>
        <w:rPr>
          <w:i/>
        </w:rPr>
        <w:t xml:space="preserve"> (IAHE)</w:t>
      </w:r>
      <w:r>
        <w:t xml:space="preserve">, welke tot voor kort verplicht waren voor L3 crises (dit is door veranderingen in de </w:t>
      </w:r>
      <w:proofErr w:type="spellStart"/>
      <w:r w:rsidRPr="00AD6A8B">
        <w:rPr>
          <w:i/>
        </w:rPr>
        <w:t>Humanitarian</w:t>
      </w:r>
      <w:proofErr w:type="spellEnd"/>
      <w:r w:rsidRPr="00AD6A8B">
        <w:rPr>
          <w:i/>
        </w:rPr>
        <w:t xml:space="preserve"> </w:t>
      </w:r>
      <w:proofErr w:type="spellStart"/>
      <w:r w:rsidRPr="00AD6A8B">
        <w:rPr>
          <w:i/>
        </w:rPr>
        <w:t>Programme</w:t>
      </w:r>
      <w:proofErr w:type="spellEnd"/>
      <w:r w:rsidRPr="00AD6A8B">
        <w:rPr>
          <w:i/>
        </w:rPr>
        <w:t xml:space="preserve"> </w:t>
      </w:r>
      <w:proofErr w:type="spellStart"/>
      <w:r w:rsidRPr="00AD6A8B">
        <w:rPr>
          <w:i/>
        </w:rPr>
        <w:t>Cycle</w:t>
      </w:r>
      <w:proofErr w:type="spellEnd"/>
      <w:r w:rsidRPr="00AD6A8B">
        <w:rPr>
          <w:i/>
        </w:rPr>
        <w:t xml:space="preserve"> </w:t>
      </w:r>
      <w:proofErr w:type="spellStart"/>
      <w:r w:rsidRPr="00AD6A8B">
        <w:rPr>
          <w:i/>
        </w:rPr>
        <w:t>Guidance</w:t>
      </w:r>
      <w:proofErr w:type="spellEnd"/>
      <w:r>
        <w:t xml:space="preserve"> aangepast). Daarnaast is OCHA namens het IASC ook verantwoordelijk voor het uitvoeren van evaluatie van de implementatie van de </w:t>
      </w:r>
      <w:proofErr w:type="spellStart"/>
      <w:r>
        <w:rPr>
          <w:i/>
        </w:rPr>
        <w:t>Transformative</w:t>
      </w:r>
      <w:proofErr w:type="spellEnd"/>
      <w:r>
        <w:rPr>
          <w:i/>
        </w:rPr>
        <w:t xml:space="preserve"> Agenda</w:t>
      </w:r>
      <w:r>
        <w:t>.</w:t>
      </w:r>
    </w:p>
    <w:p w14:paraId="3D10B60E" w14:textId="77777777" w:rsidR="00AD5CFB" w:rsidRDefault="00AD5CFB" w:rsidP="00AD5CFB"/>
    <w:p w14:paraId="3D10B60F" w14:textId="15D5A54A" w:rsidR="00AD5CFB" w:rsidRPr="009678C8" w:rsidRDefault="00AD5CFB" w:rsidP="00AD5CFB">
      <w:r>
        <w:t xml:space="preserve">Geconstateerd wordt dat de interne evaluatiefunctie in de organisatie onvoldoende onafhankelijk is, en dat er onvoldoende gebruik gemaakt wordt van </w:t>
      </w:r>
      <w:proofErr w:type="spellStart"/>
      <w:r w:rsidRPr="00DA0F6C">
        <w:rPr>
          <w:i/>
        </w:rPr>
        <w:t>lessons</w:t>
      </w:r>
      <w:proofErr w:type="spellEnd"/>
      <w:r w:rsidRPr="00DA0F6C">
        <w:rPr>
          <w:i/>
        </w:rPr>
        <w:t xml:space="preserve"> </w:t>
      </w:r>
      <w:proofErr w:type="spellStart"/>
      <w:r w:rsidRPr="00DA0F6C">
        <w:rPr>
          <w:i/>
        </w:rPr>
        <w:t>learned</w:t>
      </w:r>
      <w:proofErr w:type="spellEnd"/>
      <w:r>
        <w:t xml:space="preserve">. </w:t>
      </w:r>
      <w:r w:rsidR="00D947E9">
        <w:t xml:space="preserve">De verantwoordelijke afdeling valt onder de </w:t>
      </w:r>
      <w:r w:rsidR="00D947E9" w:rsidRPr="00D947E9">
        <w:rPr>
          <w:i/>
        </w:rPr>
        <w:t xml:space="preserve">Strategic Planning, Evaluation </w:t>
      </w:r>
      <w:proofErr w:type="spellStart"/>
      <w:r w:rsidR="00D947E9" w:rsidRPr="00D947E9">
        <w:rPr>
          <w:i/>
        </w:rPr>
        <w:t>and</w:t>
      </w:r>
      <w:proofErr w:type="spellEnd"/>
      <w:r w:rsidR="00D947E9" w:rsidRPr="00D947E9">
        <w:rPr>
          <w:i/>
        </w:rPr>
        <w:t xml:space="preserve"> </w:t>
      </w:r>
      <w:proofErr w:type="spellStart"/>
      <w:r w:rsidR="00D947E9" w:rsidRPr="00D947E9">
        <w:rPr>
          <w:i/>
        </w:rPr>
        <w:t>Guidance</w:t>
      </w:r>
      <w:proofErr w:type="spellEnd"/>
      <w:r w:rsidR="00D947E9" w:rsidRPr="00D947E9">
        <w:rPr>
          <w:i/>
        </w:rPr>
        <w:t xml:space="preserve"> </w:t>
      </w:r>
      <w:proofErr w:type="spellStart"/>
      <w:r w:rsidR="00D947E9" w:rsidRPr="00D947E9">
        <w:rPr>
          <w:i/>
        </w:rPr>
        <w:t>Section</w:t>
      </w:r>
      <w:proofErr w:type="spellEnd"/>
      <w:r w:rsidR="00D947E9">
        <w:t xml:space="preserve">. Het hoofd van de evaluatie-afdeling heeft niet de autoriteit zonder toestemming van </w:t>
      </w:r>
      <w:r w:rsidR="003B3E90">
        <w:t xml:space="preserve">de </w:t>
      </w:r>
      <w:r w:rsidR="005370D9">
        <w:t>USG-rapporten</w:t>
      </w:r>
      <w:r w:rsidR="003B3E90">
        <w:t xml:space="preserve"> uit te brengen.</w:t>
      </w:r>
      <w:r w:rsidR="00D947E9">
        <w:t xml:space="preserve"> </w:t>
      </w:r>
      <w:r>
        <w:t xml:space="preserve">De aarzelende houding van de organisatie ten aanzien van onafhankelijke evaluaties roept vragen op over de mate waarin aandacht wordt besteed aan externe verantwoording. De opvolging van de aanbevelingen van de </w:t>
      </w:r>
      <w:proofErr w:type="spellStart"/>
      <w:r>
        <w:rPr>
          <w:i/>
        </w:rPr>
        <w:t>Functional</w:t>
      </w:r>
      <w:proofErr w:type="spellEnd"/>
      <w:r>
        <w:rPr>
          <w:i/>
        </w:rPr>
        <w:t xml:space="preserve"> Review </w:t>
      </w:r>
      <w:r w:rsidR="008F4E24">
        <w:t xml:space="preserve">zal hier de </w:t>
      </w:r>
      <w:r>
        <w:t>aandacht aan</w:t>
      </w:r>
      <w:r w:rsidR="008F4E24">
        <w:t xml:space="preserve"> moeten</w:t>
      </w:r>
      <w:r>
        <w:t xml:space="preserve"> besteden.</w:t>
      </w:r>
    </w:p>
    <w:p w14:paraId="3D10B611" w14:textId="77777777" w:rsidR="00AD5CFB" w:rsidRDefault="00AD5CFB" w:rsidP="00AD5C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D10B614" w14:textId="77777777" w:rsidTr="00B06CE6">
        <w:tc>
          <w:tcPr>
            <w:tcW w:w="6912" w:type="dxa"/>
            <w:tcBorders>
              <w:top w:val="single" w:sz="12" w:space="0" w:color="auto"/>
              <w:left w:val="single" w:sz="12" w:space="0" w:color="auto"/>
              <w:bottom w:val="single" w:sz="12" w:space="0" w:color="auto"/>
            </w:tcBorders>
            <w:shd w:val="clear" w:color="auto" w:fill="D0CECE"/>
          </w:tcPr>
          <w:p w14:paraId="3D10B612"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613" w14:textId="77777777" w:rsidR="002A310E" w:rsidRPr="00EA0AA8" w:rsidRDefault="002A310E" w:rsidP="00382AE3">
            <w:pPr>
              <w:rPr>
                <w:b/>
              </w:rPr>
            </w:pPr>
            <w:r w:rsidRPr="00EA0AA8">
              <w:rPr>
                <w:b/>
              </w:rPr>
              <w:t>Score</w:t>
            </w:r>
          </w:p>
        </w:tc>
      </w:tr>
      <w:tr w:rsidR="002A310E" w14:paraId="3D10B617" w14:textId="77777777" w:rsidTr="00382AE3">
        <w:tc>
          <w:tcPr>
            <w:tcW w:w="6912" w:type="dxa"/>
            <w:tcBorders>
              <w:top w:val="single" w:sz="12" w:space="0" w:color="auto"/>
              <w:left w:val="single" w:sz="12" w:space="0" w:color="auto"/>
            </w:tcBorders>
            <w:shd w:val="clear" w:color="auto" w:fill="auto"/>
          </w:tcPr>
          <w:p w14:paraId="3D10B615" w14:textId="77777777" w:rsidR="002A310E" w:rsidRDefault="008A646F" w:rsidP="00382AE3">
            <w:r>
              <w:t>Helder vastgelegd evaluatiebeleid</w:t>
            </w:r>
          </w:p>
        </w:tc>
        <w:tc>
          <w:tcPr>
            <w:tcW w:w="955" w:type="dxa"/>
            <w:tcBorders>
              <w:top w:val="single" w:sz="12" w:space="0" w:color="auto"/>
              <w:right w:val="single" w:sz="12" w:space="0" w:color="auto"/>
            </w:tcBorders>
            <w:shd w:val="clear" w:color="auto" w:fill="auto"/>
          </w:tcPr>
          <w:p w14:paraId="3D10B616" w14:textId="77777777" w:rsidR="002A310E" w:rsidRDefault="00AD5CFB" w:rsidP="00382AE3">
            <w:r>
              <w:t>3</w:t>
            </w:r>
          </w:p>
        </w:tc>
      </w:tr>
      <w:tr w:rsidR="002A310E" w14:paraId="3D10B61A" w14:textId="77777777" w:rsidTr="00382AE3">
        <w:tc>
          <w:tcPr>
            <w:tcW w:w="6912" w:type="dxa"/>
            <w:tcBorders>
              <w:left w:val="single" w:sz="12" w:space="0" w:color="auto"/>
            </w:tcBorders>
            <w:shd w:val="clear" w:color="auto" w:fill="auto"/>
          </w:tcPr>
          <w:p w14:paraId="3D10B618" w14:textId="77777777" w:rsidR="002A310E" w:rsidRDefault="008A646F" w:rsidP="00382AE3">
            <w:r>
              <w:t>Inrichting evaluatiefunctie</w:t>
            </w:r>
          </w:p>
        </w:tc>
        <w:tc>
          <w:tcPr>
            <w:tcW w:w="955" w:type="dxa"/>
            <w:tcBorders>
              <w:right w:val="single" w:sz="12" w:space="0" w:color="auto"/>
            </w:tcBorders>
            <w:shd w:val="clear" w:color="auto" w:fill="auto"/>
          </w:tcPr>
          <w:p w14:paraId="3D10B619" w14:textId="0B4CDCA9" w:rsidR="002A310E" w:rsidRDefault="00DF1C8D" w:rsidP="00382AE3">
            <w:r>
              <w:t>2</w:t>
            </w:r>
          </w:p>
        </w:tc>
      </w:tr>
      <w:tr w:rsidR="002A310E" w14:paraId="3D10B61D" w14:textId="77777777" w:rsidTr="00382AE3">
        <w:tc>
          <w:tcPr>
            <w:tcW w:w="6912" w:type="dxa"/>
            <w:tcBorders>
              <w:left w:val="single" w:sz="12" w:space="0" w:color="auto"/>
            </w:tcBorders>
            <w:shd w:val="clear" w:color="auto" w:fill="auto"/>
          </w:tcPr>
          <w:p w14:paraId="3D10B61B" w14:textId="77777777" w:rsidR="002A310E" w:rsidRDefault="008A646F" w:rsidP="00382AE3">
            <w:r>
              <w:t>Onafhankelijkheid eval</w:t>
            </w:r>
            <w:r w:rsidR="00537DB3">
              <w:t>uatie-</w:t>
            </w:r>
            <w:r>
              <w:t>eenheid</w:t>
            </w:r>
          </w:p>
        </w:tc>
        <w:tc>
          <w:tcPr>
            <w:tcW w:w="955" w:type="dxa"/>
            <w:tcBorders>
              <w:right w:val="single" w:sz="12" w:space="0" w:color="auto"/>
            </w:tcBorders>
            <w:shd w:val="clear" w:color="auto" w:fill="auto"/>
          </w:tcPr>
          <w:p w14:paraId="3D10B61C" w14:textId="77777777" w:rsidR="002A310E" w:rsidRDefault="00AD5CFB" w:rsidP="00382AE3">
            <w:r>
              <w:t>2</w:t>
            </w:r>
          </w:p>
        </w:tc>
      </w:tr>
      <w:tr w:rsidR="00AA4C2B" w14:paraId="3D10B620" w14:textId="77777777" w:rsidTr="00382AE3">
        <w:tc>
          <w:tcPr>
            <w:tcW w:w="6912" w:type="dxa"/>
            <w:tcBorders>
              <w:left w:val="single" w:sz="12" w:space="0" w:color="auto"/>
            </w:tcBorders>
            <w:shd w:val="clear" w:color="auto" w:fill="auto"/>
          </w:tcPr>
          <w:p w14:paraId="3D10B61E" w14:textId="77777777" w:rsidR="00AA4C2B" w:rsidRDefault="00AA4C2B" w:rsidP="00382AE3">
            <w:r>
              <w:t>Reikwijdte en relevantie evaluaties</w:t>
            </w:r>
          </w:p>
        </w:tc>
        <w:tc>
          <w:tcPr>
            <w:tcW w:w="955" w:type="dxa"/>
            <w:tcBorders>
              <w:right w:val="single" w:sz="12" w:space="0" w:color="auto"/>
            </w:tcBorders>
            <w:shd w:val="clear" w:color="auto" w:fill="auto"/>
          </w:tcPr>
          <w:p w14:paraId="3D10B61F" w14:textId="77777777" w:rsidR="00AA4C2B" w:rsidRDefault="00AD5CFB" w:rsidP="00382AE3">
            <w:r>
              <w:t>3</w:t>
            </w:r>
          </w:p>
        </w:tc>
      </w:tr>
      <w:tr w:rsidR="002A310E" w14:paraId="3D10B623" w14:textId="77777777" w:rsidTr="00382AE3">
        <w:tc>
          <w:tcPr>
            <w:tcW w:w="6912" w:type="dxa"/>
            <w:tcBorders>
              <w:left w:val="single" w:sz="12" w:space="0" w:color="auto"/>
              <w:bottom w:val="single" w:sz="12" w:space="0" w:color="auto"/>
            </w:tcBorders>
            <w:shd w:val="clear" w:color="auto" w:fill="auto"/>
          </w:tcPr>
          <w:p w14:paraId="3D10B621" w14:textId="77777777" w:rsidR="002A310E" w:rsidRDefault="008A646F" w:rsidP="00382AE3">
            <w:r>
              <w:t>Follow up aanbevelingen evaluaties</w:t>
            </w:r>
          </w:p>
        </w:tc>
        <w:tc>
          <w:tcPr>
            <w:tcW w:w="955" w:type="dxa"/>
            <w:tcBorders>
              <w:bottom w:val="single" w:sz="12" w:space="0" w:color="auto"/>
              <w:right w:val="single" w:sz="12" w:space="0" w:color="auto"/>
            </w:tcBorders>
            <w:shd w:val="clear" w:color="auto" w:fill="auto"/>
          </w:tcPr>
          <w:p w14:paraId="3D10B622" w14:textId="07465C04" w:rsidR="002A310E" w:rsidRDefault="00D85684" w:rsidP="00382AE3">
            <w:r>
              <w:t>3</w:t>
            </w:r>
          </w:p>
        </w:tc>
      </w:tr>
      <w:tr w:rsidR="002A310E" w:rsidRPr="00EA0AA8" w14:paraId="3D10B626" w14:textId="77777777" w:rsidTr="00B06CE6">
        <w:tc>
          <w:tcPr>
            <w:tcW w:w="6912" w:type="dxa"/>
            <w:tcBorders>
              <w:top w:val="single" w:sz="12" w:space="0" w:color="auto"/>
              <w:left w:val="single" w:sz="12" w:space="0" w:color="auto"/>
              <w:bottom w:val="single" w:sz="12" w:space="0" w:color="auto"/>
            </w:tcBorders>
            <w:shd w:val="clear" w:color="auto" w:fill="D0CECE"/>
          </w:tcPr>
          <w:p w14:paraId="3D10B624"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25" w14:textId="3C687FD3" w:rsidR="002A310E" w:rsidRPr="00EA0AA8" w:rsidRDefault="00D85684" w:rsidP="00382AE3">
            <w:pPr>
              <w:rPr>
                <w:b/>
              </w:rPr>
            </w:pPr>
            <w:r>
              <w:rPr>
                <w:b/>
              </w:rPr>
              <w:t>3</w:t>
            </w:r>
          </w:p>
        </w:tc>
      </w:tr>
    </w:tbl>
    <w:p w14:paraId="1DAFFB13" w14:textId="77777777" w:rsidR="00633895" w:rsidRDefault="00633895" w:rsidP="00DF1C8D"/>
    <w:p w14:paraId="5D47477D" w14:textId="44D992F0" w:rsidR="00B142B1" w:rsidRDefault="00DF1C8D" w:rsidP="00D85684">
      <w:pPr>
        <w:ind w:firstLine="227"/>
      </w:pPr>
      <w:r w:rsidRPr="00193994">
        <w:t>Ver</w:t>
      </w:r>
      <w:r>
        <w:t xml:space="preserve">andering sinds 2015: </w:t>
      </w:r>
      <w:r w:rsidR="00D85684">
        <w:t>neutraal</w:t>
      </w:r>
      <w:r w:rsidR="00D85684" w:rsidRPr="00193994">
        <w:t xml:space="preserve"> = </w:t>
      </w:r>
      <w:r w:rsidR="00D85684" w:rsidRPr="00193994">
        <w:sym w:font="Wingdings" w:char="F0E8"/>
      </w:r>
    </w:p>
    <w:p w14:paraId="5EC6FC5F" w14:textId="468A8ADB" w:rsidR="00194F38" w:rsidRDefault="00194F38" w:rsidP="00194F38">
      <w:pPr>
        <w:rPr>
          <w:b/>
        </w:rPr>
      </w:pPr>
    </w:p>
    <w:p w14:paraId="3D10B628" w14:textId="1EDBA0BE" w:rsidR="00DE343C" w:rsidRPr="00A92845" w:rsidRDefault="00633895" w:rsidP="004D372F">
      <w:pPr>
        <w:pStyle w:val="Heading2"/>
        <w:tabs>
          <w:tab w:val="left" w:pos="-1162"/>
          <w:tab w:val="left" w:pos="0"/>
          <w:tab w:val="num" w:pos="1160"/>
        </w:tabs>
        <w:spacing w:line="240" w:lineRule="auto"/>
        <w:ind w:hanging="1162"/>
      </w:pPr>
      <w:bookmarkStart w:id="34" w:name="_Toc348364671"/>
      <w:bookmarkStart w:id="35" w:name="_Toc491439708"/>
      <w:r>
        <w:t>4</w:t>
      </w:r>
      <w:r w:rsidR="004D372F" w:rsidRPr="004D372F">
        <w:t>.</w:t>
      </w:r>
      <w:r w:rsidR="00A74DEC">
        <w:t>6</w:t>
      </w:r>
      <w:r w:rsidR="004D372F">
        <w:tab/>
      </w:r>
      <w:r w:rsidR="00DE343C" w:rsidRPr="00DA0F6C">
        <w:t xml:space="preserve">Human Resource </w:t>
      </w:r>
      <w:r w:rsidR="00DE343C" w:rsidRPr="00A92845">
        <w:t>Management</w:t>
      </w:r>
      <w:bookmarkEnd w:id="34"/>
      <w:bookmarkEnd w:id="35"/>
    </w:p>
    <w:p w14:paraId="398807C6" w14:textId="7934598C" w:rsidR="00156F68" w:rsidRDefault="00082EE9" w:rsidP="00082EE9">
      <w:r>
        <w:t xml:space="preserve">Het personeelsbeleid laat in doorlichtingen als de </w:t>
      </w:r>
      <w:proofErr w:type="spellStart"/>
      <w:r>
        <w:rPr>
          <w:i/>
        </w:rPr>
        <w:t>Functional</w:t>
      </w:r>
      <w:proofErr w:type="spellEnd"/>
      <w:r>
        <w:rPr>
          <w:i/>
        </w:rPr>
        <w:t xml:space="preserve"> Review </w:t>
      </w:r>
      <w:r>
        <w:t>en de MOPAN-evaluatie</w:t>
      </w:r>
      <w:r w:rsidR="00B76C7F">
        <w:t xml:space="preserve"> </w:t>
      </w:r>
      <w:r w:rsidR="001626C6">
        <w:t>(</w:t>
      </w:r>
      <w:r w:rsidR="001E1BD7">
        <w:t>2017</w:t>
      </w:r>
      <w:r w:rsidR="001626C6">
        <w:t xml:space="preserve">) </w:t>
      </w:r>
      <w:r w:rsidR="00B76C7F">
        <w:t>sterke</w:t>
      </w:r>
      <w:r>
        <w:t xml:space="preserve"> tekortkomingen zien. Staf voelt zich loyaal aan en gemotiveerd door bredere humanitaire doelen, maar is minder gecommitteerd aan het manageme</w:t>
      </w:r>
      <w:r w:rsidR="00156F68">
        <w:t xml:space="preserve">nt en aan OCHA als organisatie. Ondanks dat OCHA formeel aandacht besteedt aan gender </w:t>
      </w:r>
      <w:r w:rsidR="00661136">
        <w:t xml:space="preserve">(genderbalans en gendersensitiviteit in de organisatie) </w:t>
      </w:r>
      <w:r w:rsidR="00156F68">
        <w:t>en diversiteit in het personeelsbe</w:t>
      </w:r>
      <w:r w:rsidR="00661136">
        <w:t>leid</w:t>
      </w:r>
      <w:r w:rsidR="00156F68">
        <w:t xml:space="preserve">, wordt dit onvoldoende </w:t>
      </w:r>
      <w:r w:rsidR="00661136">
        <w:t>vertaald naar concrete resultaten</w:t>
      </w:r>
      <w:r w:rsidR="00156F68">
        <w:t>. Ook ontbreekt een formele strategische personeelsstrategie waarin duidelijke doelen op dit terrein worden ge</w:t>
      </w:r>
      <w:r w:rsidR="00F210A5">
        <w:t>steld</w:t>
      </w:r>
      <w:r w:rsidR="00156F68">
        <w:t xml:space="preserve">. </w:t>
      </w:r>
      <w:r w:rsidR="00255FA6">
        <w:t xml:space="preserve">Het management, de organisatiestructuur en interne communicatie over strategische doelen laten eveneens de nodige tekortkomingen zien. </w:t>
      </w:r>
      <w:r>
        <w:t xml:space="preserve">Er is onduidelijkheid over wervingsbeleid en het ontbreekt aan een duidelijk op prestatie geënt promotiebeleid. Ook </w:t>
      </w:r>
      <w:r w:rsidR="001626C6">
        <w:t>bestaat er onvoldoende koppeling tussen het</w:t>
      </w:r>
      <w:r>
        <w:t xml:space="preserve"> strategisch plan van de organisatie en </w:t>
      </w:r>
      <w:r w:rsidR="001626C6">
        <w:t xml:space="preserve">de </w:t>
      </w:r>
      <w:r>
        <w:t>werkplannen van het personeel</w:t>
      </w:r>
      <w:r w:rsidR="001626C6">
        <w:t xml:space="preserve">. </w:t>
      </w:r>
      <w:r w:rsidR="006918A9">
        <w:t xml:space="preserve"> OCHA </w:t>
      </w:r>
      <w:r w:rsidR="000B7A06">
        <w:t xml:space="preserve">is </w:t>
      </w:r>
      <w:r w:rsidR="006918A9">
        <w:t xml:space="preserve">gehouden aan de regelgeving </w:t>
      </w:r>
      <w:r w:rsidR="00DE2D4D">
        <w:t>van het VN</w:t>
      </w:r>
      <w:r w:rsidR="000B7A06">
        <w:t>-</w:t>
      </w:r>
      <w:r w:rsidR="00DE2D4D">
        <w:t xml:space="preserve">Secretariaat </w:t>
      </w:r>
      <w:r w:rsidR="006918A9">
        <w:t>ten aanzien van personeel</w:t>
      </w:r>
      <w:r w:rsidR="00DE2D4D">
        <w:t xml:space="preserve">. Met het oog op </w:t>
      </w:r>
      <w:r w:rsidR="00545103">
        <w:t xml:space="preserve">snel opkomende noodsituaties en bij veranderende noden </w:t>
      </w:r>
      <w:r w:rsidR="00DE2D4D">
        <w:t>hanteert OCHA diverse ‘</w:t>
      </w:r>
      <w:r w:rsidR="005370D9">
        <w:t>roosters</w:t>
      </w:r>
      <w:r w:rsidR="00DE2D4D">
        <w:t xml:space="preserve">’ </w:t>
      </w:r>
      <w:r w:rsidR="00B412E6">
        <w:t xml:space="preserve">met reeds gescreende kandidaten </w:t>
      </w:r>
      <w:r w:rsidR="00DE2D4D">
        <w:t>voor het onmiddellijk inzetten van experts of coördinatoren</w:t>
      </w:r>
      <w:r w:rsidR="00B412E6">
        <w:t xml:space="preserve"> op korte termijn en voor een beperkte duur</w:t>
      </w:r>
      <w:r w:rsidR="00545103">
        <w:t>.</w:t>
      </w:r>
      <w:r>
        <w:t xml:space="preserve"> </w:t>
      </w:r>
    </w:p>
    <w:p w14:paraId="03C3089B" w14:textId="77777777" w:rsidR="00156F68" w:rsidRDefault="00156F68" w:rsidP="00082EE9"/>
    <w:p w14:paraId="3D10B62A" w14:textId="35A5ED29" w:rsidR="00082EE9" w:rsidRDefault="00082EE9" w:rsidP="00082EE9">
      <w:r>
        <w:t xml:space="preserve">Het naar aanleiding van de </w:t>
      </w:r>
      <w:proofErr w:type="spellStart"/>
      <w:r>
        <w:rPr>
          <w:i/>
        </w:rPr>
        <w:t>Functional</w:t>
      </w:r>
      <w:proofErr w:type="spellEnd"/>
      <w:r>
        <w:rPr>
          <w:i/>
        </w:rPr>
        <w:t xml:space="preserve"> Review</w:t>
      </w:r>
      <w:r>
        <w:t xml:space="preserve"> gestarte hervormingsproces schenkt ruimschoots aandacht aan d</w:t>
      </w:r>
      <w:r w:rsidR="00545103">
        <w:t>eze</w:t>
      </w:r>
      <w:r>
        <w:t xml:space="preserve"> aspect</w:t>
      </w:r>
      <w:r w:rsidR="00545103">
        <w:t>en</w:t>
      </w:r>
      <w:r>
        <w:t>, waardoor de verwachting is dat het personeelsbeleid van OCHA de komende periode een verbetering zal laten zien.</w:t>
      </w:r>
    </w:p>
    <w:p w14:paraId="3D10B62C" w14:textId="26BB8E86" w:rsidR="006E7C44" w:rsidRDefault="006E7C44">
      <w:pPr>
        <w:spacing w:line="240" w:lineRule="auto"/>
      </w:pPr>
      <w:r>
        <w:br w:type="page"/>
      </w:r>
    </w:p>
    <w:p w14:paraId="04576042" w14:textId="77777777" w:rsidR="002A310E" w:rsidRDefault="002A310E" w:rsidP="003266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7"/>
        <w:gridCol w:w="950"/>
      </w:tblGrid>
      <w:tr w:rsidR="002A310E" w:rsidRPr="00EA0AA8" w14:paraId="3D10B62F" w14:textId="77777777" w:rsidTr="00B06CE6">
        <w:tc>
          <w:tcPr>
            <w:tcW w:w="6912" w:type="dxa"/>
            <w:tcBorders>
              <w:top w:val="single" w:sz="12" w:space="0" w:color="auto"/>
              <w:left w:val="single" w:sz="12" w:space="0" w:color="auto"/>
              <w:bottom w:val="single" w:sz="12" w:space="0" w:color="auto"/>
            </w:tcBorders>
            <w:shd w:val="clear" w:color="auto" w:fill="D0CECE"/>
          </w:tcPr>
          <w:p w14:paraId="3D10B62D"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62E" w14:textId="77777777" w:rsidR="002A310E" w:rsidRPr="00EA0AA8" w:rsidRDefault="002A310E" w:rsidP="00382AE3">
            <w:pPr>
              <w:rPr>
                <w:b/>
              </w:rPr>
            </w:pPr>
            <w:r w:rsidRPr="00EA0AA8">
              <w:rPr>
                <w:b/>
              </w:rPr>
              <w:t>Score</w:t>
            </w:r>
          </w:p>
        </w:tc>
      </w:tr>
      <w:tr w:rsidR="002A310E" w14:paraId="3D10B632" w14:textId="77777777" w:rsidTr="00382AE3">
        <w:tc>
          <w:tcPr>
            <w:tcW w:w="6912" w:type="dxa"/>
            <w:tcBorders>
              <w:top w:val="single" w:sz="12" w:space="0" w:color="auto"/>
              <w:left w:val="single" w:sz="12" w:space="0" w:color="auto"/>
            </w:tcBorders>
            <w:shd w:val="clear" w:color="auto" w:fill="auto"/>
          </w:tcPr>
          <w:p w14:paraId="3D10B630" w14:textId="77777777" w:rsidR="002A310E" w:rsidRDefault="00B52E2F" w:rsidP="00382AE3">
            <w:r>
              <w:t xml:space="preserve">Mobiliteit </w:t>
            </w:r>
          </w:p>
        </w:tc>
        <w:tc>
          <w:tcPr>
            <w:tcW w:w="955" w:type="dxa"/>
            <w:tcBorders>
              <w:top w:val="single" w:sz="12" w:space="0" w:color="auto"/>
              <w:right w:val="single" w:sz="12" w:space="0" w:color="auto"/>
            </w:tcBorders>
            <w:shd w:val="clear" w:color="auto" w:fill="auto"/>
          </w:tcPr>
          <w:p w14:paraId="3D10B631" w14:textId="77777777" w:rsidR="002A310E" w:rsidRDefault="003E08CD" w:rsidP="00382AE3">
            <w:r>
              <w:t>2</w:t>
            </w:r>
          </w:p>
        </w:tc>
      </w:tr>
      <w:tr w:rsidR="002A310E" w14:paraId="3D10B635" w14:textId="77777777" w:rsidTr="00382AE3">
        <w:tc>
          <w:tcPr>
            <w:tcW w:w="6912" w:type="dxa"/>
            <w:tcBorders>
              <w:left w:val="single" w:sz="12" w:space="0" w:color="auto"/>
            </w:tcBorders>
            <w:shd w:val="clear" w:color="auto" w:fill="auto"/>
          </w:tcPr>
          <w:p w14:paraId="3D10B633" w14:textId="77777777" w:rsidR="002A310E" w:rsidRDefault="00B52E2F" w:rsidP="00B52E2F">
            <w:r>
              <w:t xml:space="preserve">Kwaliteit </w:t>
            </w:r>
          </w:p>
        </w:tc>
        <w:tc>
          <w:tcPr>
            <w:tcW w:w="955" w:type="dxa"/>
            <w:tcBorders>
              <w:right w:val="single" w:sz="12" w:space="0" w:color="auto"/>
            </w:tcBorders>
            <w:shd w:val="clear" w:color="auto" w:fill="auto"/>
          </w:tcPr>
          <w:p w14:paraId="3D10B634" w14:textId="77777777" w:rsidR="002A310E" w:rsidRDefault="00255FA6" w:rsidP="00382AE3">
            <w:r>
              <w:t>2</w:t>
            </w:r>
          </w:p>
        </w:tc>
      </w:tr>
      <w:tr w:rsidR="002A310E" w14:paraId="3D10B638" w14:textId="77777777" w:rsidTr="00382AE3">
        <w:tc>
          <w:tcPr>
            <w:tcW w:w="6912" w:type="dxa"/>
            <w:tcBorders>
              <w:left w:val="single" w:sz="12" w:space="0" w:color="auto"/>
            </w:tcBorders>
            <w:shd w:val="clear" w:color="auto" w:fill="auto"/>
          </w:tcPr>
          <w:p w14:paraId="3D10B636" w14:textId="77777777" w:rsidR="002A310E" w:rsidRDefault="00B52E2F" w:rsidP="00382AE3">
            <w:r>
              <w:t>Diversiteit</w:t>
            </w:r>
          </w:p>
        </w:tc>
        <w:tc>
          <w:tcPr>
            <w:tcW w:w="955" w:type="dxa"/>
            <w:tcBorders>
              <w:right w:val="single" w:sz="12" w:space="0" w:color="auto"/>
            </w:tcBorders>
            <w:shd w:val="clear" w:color="auto" w:fill="auto"/>
          </w:tcPr>
          <w:p w14:paraId="3D10B637" w14:textId="7E7ADBAF" w:rsidR="002A310E" w:rsidRDefault="00C11562" w:rsidP="00382AE3">
            <w:r>
              <w:t>2</w:t>
            </w:r>
          </w:p>
        </w:tc>
      </w:tr>
      <w:tr w:rsidR="002A310E" w14:paraId="3D10B63B" w14:textId="77777777" w:rsidTr="00382AE3">
        <w:tc>
          <w:tcPr>
            <w:tcW w:w="6912" w:type="dxa"/>
            <w:tcBorders>
              <w:left w:val="single" w:sz="12" w:space="0" w:color="auto"/>
              <w:bottom w:val="single" w:sz="12" w:space="0" w:color="auto"/>
            </w:tcBorders>
            <w:shd w:val="clear" w:color="auto" w:fill="auto"/>
          </w:tcPr>
          <w:p w14:paraId="3D10B639" w14:textId="77777777" w:rsidR="002A310E" w:rsidRDefault="00B52E2F" w:rsidP="00382AE3">
            <w:r>
              <w:t>Genderbalans</w:t>
            </w:r>
          </w:p>
        </w:tc>
        <w:tc>
          <w:tcPr>
            <w:tcW w:w="955" w:type="dxa"/>
            <w:tcBorders>
              <w:bottom w:val="single" w:sz="12" w:space="0" w:color="auto"/>
              <w:right w:val="single" w:sz="12" w:space="0" w:color="auto"/>
            </w:tcBorders>
            <w:shd w:val="clear" w:color="auto" w:fill="auto"/>
          </w:tcPr>
          <w:p w14:paraId="3D10B63A" w14:textId="4903D5AD" w:rsidR="002A310E" w:rsidRDefault="006827E1" w:rsidP="00382AE3">
            <w:r>
              <w:t>2</w:t>
            </w:r>
          </w:p>
        </w:tc>
      </w:tr>
      <w:tr w:rsidR="002A310E" w:rsidRPr="00EA0AA8" w14:paraId="3D10B63E" w14:textId="77777777" w:rsidTr="00B06CE6">
        <w:tc>
          <w:tcPr>
            <w:tcW w:w="6912" w:type="dxa"/>
            <w:tcBorders>
              <w:top w:val="single" w:sz="12" w:space="0" w:color="auto"/>
              <w:left w:val="single" w:sz="12" w:space="0" w:color="auto"/>
              <w:bottom w:val="single" w:sz="12" w:space="0" w:color="auto"/>
            </w:tcBorders>
            <w:shd w:val="clear" w:color="auto" w:fill="D0CECE"/>
          </w:tcPr>
          <w:p w14:paraId="3D10B63C"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3D" w14:textId="77777777" w:rsidR="002A310E" w:rsidRPr="00EA0AA8" w:rsidRDefault="003E08CD" w:rsidP="00382AE3">
            <w:pPr>
              <w:rPr>
                <w:b/>
              </w:rPr>
            </w:pPr>
            <w:r>
              <w:rPr>
                <w:b/>
              </w:rPr>
              <w:t>2</w:t>
            </w:r>
          </w:p>
        </w:tc>
      </w:tr>
    </w:tbl>
    <w:p w14:paraId="3967E1EA" w14:textId="77777777" w:rsidR="006E7C44" w:rsidRDefault="006E7C44" w:rsidP="00633895">
      <w:pPr>
        <w:ind w:firstLine="227"/>
      </w:pPr>
    </w:p>
    <w:p w14:paraId="3D10B63F" w14:textId="4D8E1378" w:rsidR="00D32F98" w:rsidRDefault="00D32F98" w:rsidP="00633895">
      <w:pPr>
        <w:ind w:firstLine="227"/>
        <w:rPr>
          <w:rFonts w:ascii="Segoe UI Emoji" w:eastAsia="Segoe UI Emoji" w:hAnsi="Segoe UI Emoji" w:cs="Segoe UI Emoji"/>
          <w:b/>
        </w:rPr>
      </w:pPr>
      <w:r w:rsidRPr="00193994">
        <w:t>Ver</w:t>
      </w:r>
      <w:r>
        <w:t>andering sinds 2015: ne</w:t>
      </w:r>
      <w:r w:rsidR="003E08CD">
        <w:t xml:space="preserve">gatief </w:t>
      </w:r>
      <w:r w:rsidRPr="00193994">
        <w:t xml:space="preserve">= </w:t>
      </w:r>
      <w:r w:rsidR="003E08CD">
        <w:rPr>
          <w:rFonts w:ascii="Segoe UI Emoji" w:eastAsia="Segoe UI Emoji" w:hAnsi="Segoe UI Emoji" w:cs="Segoe UI Emoji"/>
          <w:b/>
        </w:rPr>
        <w:sym w:font="Wingdings" w:char="F0EA"/>
      </w:r>
    </w:p>
    <w:p w14:paraId="5E8DBB28" w14:textId="77777777" w:rsidR="00AD4A0F" w:rsidRDefault="00AD4A0F" w:rsidP="00633895">
      <w:pPr>
        <w:ind w:firstLine="227"/>
        <w:rPr>
          <w:rFonts w:ascii="Segoe UI Emoji" w:eastAsia="Segoe UI Emoji" w:hAnsi="Segoe UI Emoji" w:cs="Segoe UI Emoji"/>
          <w:b/>
        </w:rPr>
      </w:pPr>
    </w:p>
    <w:p w14:paraId="3D10B642" w14:textId="10A42DC6" w:rsidR="00DE343C" w:rsidRPr="004D372F" w:rsidRDefault="00633895" w:rsidP="004D372F">
      <w:pPr>
        <w:pStyle w:val="Heading2"/>
        <w:tabs>
          <w:tab w:val="left" w:pos="-1162"/>
          <w:tab w:val="left" w:pos="0"/>
          <w:tab w:val="num" w:pos="1160"/>
        </w:tabs>
        <w:spacing w:line="240" w:lineRule="auto"/>
        <w:ind w:hanging="1162"/>
      </w:pPr>
      <w:bookmarkStart w:id="36" w:name="_Toc491439709"/>
      <w:r>
        <w:t>4</w:t>
      </w:r>
      <w:r w:rsidR="00326699">
        <w:t>.</w:t>
      </w:r>
      <w:r w:rsidR="00A74DEC">
        <w:t>7</w:t>
      </w:r>
      <w:r w:rsidR="004D372F" w:rsidRPr="004D372F">
        <w:t xml:space="preserve"> </w:t>
      </w:r>
      <w:r w:rsidR="004D372F">
        <w:tab/>
      </w:r>
      <w:r w:rsidR="00DE343C" w:rsidRPr="004D372F">
        <w:t xml:space="preserve">Financiële </w:t>
      </w:r>
      <w:r w:rsidR="00DB7D94">
        <w:t>stabiliteit</w:t>
      </w:r>
      <w:bookmarkEnd w:id="36"/>
    </w:p>
    <w:p w14:paraId="003E7CAF" w14:textId="1C4FB045" w:rsidR="00657DD8" w:rsidRDefault="001E79AD" w:rsidP="001E79AD">
      <w:pPr>
        <w:autoSpaceDE w:val="0"/>
        <w:autoSpaceDN w:val="0"/>
        <w:adjustRightInd w:val="0"/>
        <w:spacing w:line="240" w:lineRule="auto"/>
        <w:rPr>
          <w:rFonts w:eastAsia="Calibri" w:cs="Verdana"/>
          <w:szCs w:val="18"/>
          <w:lang w:eastAsia="en-US"/>
        </w:rPr>
      </w:pPr>
      <w:proofErr w:type="spellStart"/>
      <w:r>
        <w:rPr>
          <w:rFonts w:eastAsia="Calibri" w:cs="Verdana"/>
          <w:szCs w:val="18"/>
          <w:lang w:eastAsia="en-US"/>
        </w:rPr>
        <w:t>OCHA’s</w:t>
      </w:r>
      <w:proofErr w:type="spellEnd"/>
      <w:r>
        <w:rPr>
          <w:rFonts w:eastAsia="Calibri" w:cs="Verdana"/>
          <w:szCs w:val="18"/>
          <w:lang w:eastAsia="en-US"/>
        </w:rPr>
        <w:t xml:space="preserve"> begroting staat permanent onder druk door het toenemend aantal crises en de eisen die de internationale gemeenschap aan de organisatie stellen om de humanitaire noden te lenigen. Net als bij andere hulporganisaties blijven donorbijdragen achter bij </w:t>
      </w:r>
      <w:proofErr w:type="spellStart"/>
      <w:r w:rsidRPr="00CD556D">
        <w:rPr>
          <w:rFonts w:eastAsia="Calibri" w:cs="Verdana"/>
          <w:szCs w:val="18"/>
          <w:lang w:eastAsia="en-US"/>
        </w:rPr>
        <w:t>OC</w:t>
      </w:r>
      <w:r>
        <w:rPr>
          <w:rFonts w:eastAsia="Calibri" w:cs="Verdana"/>
          <w:szCs w:val="18"/>
          <w:lang w:eastAsia="en-US"/>
        </w:rPr>
        <w:t>HA’s</w:t>
      </w:r>
      <w:proofErr w:type="spellEnd"/>
      <w:r>
        <w:rPr>
          <w:rFonts w:eastAsia="Calibri" w:cs="Verdana"/>
          <w:szCs w:val="18"/>
          <w:lang w:eastAsia="en-US"/>
        </w:rPr>
        <w:t xml:space="preserve"> ambities en </w:t>
      </w:r>
      <w:r w:rsidRPr="00CD556D">
        <w:rPr>
          <w:rFonts w:eastAsia="Calibri" w:cs="Verdana"/>
          <w:szCs w:val="18"/>
          <w:lang w:eastAsia="en-US"/>
        </w:rPr>
        <w:t xml:space="preserve">het geraamde budget. </w:t>
      </w:r>
      <w:r w:rsidR="00657DD8" w:rsidRPr="00657DD8">
        <w:rPr>
          <w:rFonts w:eastAsia="Calibri" w:cs="Verdana"/>
          <w:szCs w:val="18"/>
          <w:lang w:eastAsia="en-US"/>
        </w:rPr>
        <w:t xml:space="preserve">OCHA heeft ondanks de toename van de inkomsten de afgelopen jaren </w:t>
      </w:r>
      <w:r w:rsidR="00657DD8">
        <w:rPr>
          <w:rFonts w:eastAsia="Calibri" w:cs="Verdana"/>
          <w:szCs w:val="18"/>
          <w:lang w:eastAsia="en-US"/>
        </w:rPr>
        <w:t xml:space="preserve">derhalve </w:t>
      </w:r>
      <w:r w:rsidR="00657DD8" w:rsidRPr="00657DD8">
        <w:rPr>
          <w:rFonts w:eastAsia="Calibri" w:cs="Verdana"/>
          <w:szCs w:val="18"/>
          <w:lang w:eastAsia="en-US"/>
        </w:rPr>
        <w:t>te maken gehad met een tekort op het budget</w:t>
      </w:r>
      <w:r w:rsidR="00657DD8">
        <w:rPr>
          <w:rFonts w:eastAsia="Calibri" w:cs="Verdana"/>
          <w:szCs w:val="18"/>
          <w:lang w:eastAsia="en-US"/>
        </w:rPr>
        <w:t>, verergerd door</w:t>
      </w:r>
      <w:r w:rsidR="00657DD8" w:rsidRPr="00657DD8">
        <w:rPr>
          <w:rFonts w:eastAsia="Calibri" w:cs="Verdana"/>
          <w:szCs w:val="18"/>
          <w:lang w:eastAsia="en-US"/>
        </w:rPr>
        <w:t xml:space="preserve"> de ongunstige wisselkoers van de dollar. Zo bedroegen in 2016 de vrijwillige bijdragen van donoren USD 262 miljoen, tegenover USD 314 miljoen aan geplande uitgaven (later in het jaar teruggebracht tot USD 294 miljoen). Het tekort werd gefinancierd uit reserves, die </w:t>
      </w:r>
      <w:r w:rsidR="00657DD8">
        <w:rPr>
          <w:rFonts w:eastAsia="Calibri" w:cs="Verdana"/>
          <w:szCs w:val="18"/>
          <w:lang w:eastAsia="en-US"/>
        </w:rPr>
        <w:t>in 2017</w:t>
      </w:r>
      <w:r w:rsidR="00657DD8" w:rsidRPr="00657DD8">
        <w:rPr>
          <w:rFonts w:eastAsia="Calibri" w:cs="Verdana"/>
          <w:szCs w:val="18"/>
          <w:lang w:eastAsia="en-US"/>
        </w:rPr>
        <w:t xml:space="preserve"> vrijwel uitgeput zijn. OCHA ziet zich derhalve genoodzaakt een drastische bezuiniging door te voeren die zijn weerslag zal hebben op de organisatie en het personeel. De eerste stappen naar </w:t>
      </w:r>
      <w:r w:rsidR="00657DD8">
        <w:rPr>
          <w:rFonts w:eastAsia="Calibri" w:cs="Verdana"/>
          <w:szCs w:val="18"/>
          <w:lang w:eastAsia="en-US"/>
        </w:rPr>
        <w:t>een duurzamere, evenwichtige financiële positie</w:t>
      </w:r>
      <w:r w:rsidR="00657DD8" w:rsidRPr="00657DD8">
        <w:rPr>
          <w:rFonts w:eastAsia="Calibri" w:cs="Verdana"/>
          <w:szCs w:val="18"/>
          <w:lang w:eastAsia="en-US"/>
        </w:rPr>
        <w:t xml:space="preserve"> zijn onder druk van donoren reeds gezet, maar dienen in de loop van 2017 en in aanloop naar de vaststelling van de begroting van 2018 verder geconsolideerd te worden</w:t>
      </w:r>
      <w:r w:rsidR="00657DD8">
        <w:rPr>
          <w:rFonts w:eastAsia="Calibri" w:cs="Verdana"/>
          <w:szCs w:val="18"/>
          <w:lang w:eastAsia="en-US"/>
        </w:rPr>
        <w:t>. Voorts wordt getracht</w:t>
      </w:r>
      <w:r w:rsidRPr="00CD556D">
        <w:rPr>
          <w:rFonts w:eastAsia="Calibri" w:cs="Verdana"/>
          <w:szCs w:val="18"/>
          <w:lang w:eastAsia="en-US"/>
        </w:rPr>
        <w:t xml:space="preserve"> de donorbasis te verbreden</w:t>
      </w:r>
      <w:r w:rsidR="00657DD8">
        <w:rPr>
          <w:rFonts w:eastAsia="Calibri" w:cs="Verdana"/>
          <w:szCs w:val="18"/>
          <w:lang w:eastAsia="en-US"/>
        </w:rPr>
        <w:t>, hetgeen vruchten lijkt af te werpen.</w:t>
      </w:r>
    </w:p>
    <w:p w14:paraId="6A16FEBD" w14:textId="77777777" w:rsidR="00657DD8" w:rsidRDefault="00657DD8" w:rsidP="001E79AD">
      <w:pPr>
        <w:autoSpaceDE w:val="0"/>
        <w:autoSpaceDN w:val="0"/>
        <w:adjustRightInd w:val="0"/>
        <w:spacing w:line="240" w:lineRule="auto"/>
        <w:rPr>
          <w:rFonts w:eastAsia="Calibri" w:cs="Verdana"/>
          <w:szCs w:val="18"/>
          <w:lang w:eastAsia="en-US"/>
        </w:rPr>
      </w:pPr>
    </w:p>
    <w:p w14:paraId="6CEC9E7A" w14:textId="2360A7AC" w:rsidR="00657DD8" w:rsidRDefault="001626C6" w:rsidP="003B3E90">
      <w:pPr>
        <w:autoSpaceDE w:val="0"/>
        <w:autoSpaceDN w:val="0"/>
        <w:adjustRightInd w:val="0"/>
        <w:spacing w:line="240" w:lineRule="auto"/>
      </w:pPr>
      <w:r>
        <w:rPr>
          <w:rFonts w:eastAsia="Calibri" w:cs="Verdana"/>
          <w:szCs w:val="18"/>
          <w:lang w:eastAsia="en-US"/>
        </w:rPr>
        <w:t xml:space="preserve">Er is een dalende trend waarneembaar in het percentage </w:t>
      </w:r>
      <w:proofErr w:type="spellStart"/>
      <w:r w:rsidR="00145A7D" w:rsidRPr="00145A7D">
        <w:rPr>
          <w:i/>
        </w:rPr>
        <w:t>core</w:t>
      </w:r>
      <w:proofErr w:type="spellEnd"/>
      <w:r>
        <w:rPr>
          <w:rFonts w:eastAsia="Calibri" w:cs="Verdana"/>
          <w:szCs w:val="18"/>
          <w:lang w:eastAsia="en-US"/>
        </w:rPr>
        <w:t xml:space="preserve"> fondsen ten opzichte van de </w:t>
      </w:r>
      <w:r w:rsidR="001E79AD" w:rsidRPr="00CD556D">
        <w:rPr>
          <w:rFonts w:eastAsia="Calibri" w:cs="Verdana"/>
          <w:szCs w:val="18"/>
          <w:lang w:eastAsia="en-US"/>
        </w:rPr>
        <w:t>totale bijdragen aan het operationele budget</w:t>
      </w:r>
      <w:r w:rsidR="00217B80">
        <w:rPr>
          <w:rFonts w:eastAsia="Calibri" w:cs="Verdana"/>
          <w:szCs w:val="18"/>
          <w:lang w:eastAsia="en-US"/>
        </w:rPr>
        <w:t xml:space="preserve"> (circa</w:t>
      </w:r>
      <w:r w:rsidR="00CB7096">
        <w:rPr>
          <w:rFonts w:eastAsia="Calibri" w:cs="Verdana"/>
          <w:szCs w:val="18"/>
          <w:lang w:eastAsia="en-US"/>
        </w:rPr>
        <w:t xml:space="preserve"> 39</w:t>
      </w:r>
      <w:r w:rsidR="00217B80">
        <w:rPr>
          <w:rFonts w:eastAsia="Calibri" w:cs="Verdana"/>
          <w:szCs w:val="18"/>
          <w:lang w:eastAsia="en-US"/>
        </w:rPr>
        <w:t>%</w:t>
      </w:r>
      <w:r w:rsidR="00CB7096">
        <w:rPr>
          <w:rFonts w:eastAsia="Calibri" w:cs="Verdana"/>
          <w:szCs w:val="18"/>
          <w:lang w:eastAsia="en-US"/>
        </w:rPr>
        <w:t xml:space="preserve"> in 2016). </w:t>
      </w:r>
      <w:r w:rsidR="001E79AD" w:rsidRPr="00CD556D">
        <w:rPr>
          <w:rFonts w:eastAsia="Calibri" w:cs="Verdana"/>
          <w:szCs w:val="18"/>
          <w:lang w:eastAsia="en-US"/>
        </w:rPr>
        <w:t xml:space="preserve">Donorbijdragen aan het CERF en de </w:t>
      </w:r>
      <w:proofErr w:type="spellStart"/>
      <w:r w:rsidR="001E79AD" w:rsidRPr="00662F0B">
        <w:rPr>
          <w:rFonts w:eastAsia="Calibri" w:cs="Verdana"/>
          <w:i/>
          <w:szCs w:val="18"/>
          <w:lang w:eastAsia="en-US"/>
        </w:rPr>
        <w:t>pooled</w:t>
      </w:r>
      <w:proofErr w:type="spellEnd"/>
      <w:r w:rsidR="001E79AD" w:rsidRPr="00662F0B">
        <w:rPr>
          <w:rFonts w:eastAsia="Calibri" w:cs="Verdana"/>
          <w:i/>
          <w:szCs w:val="18"/>
          <w:lang w:eastAsia="en-US"/>
        </w:rPr>
        <w:t xml:space="preserve"> funds</w:t>
      </w:r>
      <w:r w:rsidR="001E79AD">
        <w:rPr>
          <w:rFonts w:eastAsia="Calibri" w:cs="Verdana"/>
          <w:szCs w:val="18"/>
          <w:lang w:eastAsia="en-US"/>
        </w:rPr>
        <w:t xml:space="preserve"> worden door OCHA</w:t>
      </w:r>
      <w:r w:rsidR="001E79AD" w:rsidRPr="00CD556D">
        <w:rPr>
          <w:rFonts w:eastAsia="Calibri" w:cs="Verdana"/>
          <w:szCs w:val="18"/>
          <w:lang w:eastAsia="en-US"/>
        </w:rPr>
        <w:t xml:space="preserve"> </w:t>
      </w:r>
      <w:r w:rsidR="001E79AD">
        <w:rPr>
          <w:rFonts w:eastAsia="Calibri" w:cs="Verdana"/>
          <w:szCs w:val="18"/>
          <w:lang w:eastAsia="en-US"/>
        </w:rPr>
        <w:t xml:space="preserve">als </w:t>
      </w:r>
      <w:proofErr w:type="spellStart"/>
      <w:r w:rsidR="00145A7D" w:rsidRPr="00145A7D">
        <w:rPr>
          <w:i/>
        </w:rPr>
        <w:t>core</w:t>
      </w:r>
      <w:proofErr w:type="spellEnd"/>
      <w:r w:rsidR="001E79AD">
        <w:rPr>
          <w:rFonts w:eastAsia="Calibri" w:cs="Verdana"/>
          <w:szCs w:val="18"/>
          <w:lang w:eastAsia="en-US"/>
        </w:rPr>
        <w:t xml:space="preserve"> beschouwd</w:t>
      </w:r>
      <w:r w:rsidR="001E79AD" w:rsidRPr="00CD556D">
        <w:rPr>
          <w:rFonts w:eastAsia="Calibri" w:cs="Verdana"/>
          <w:szCs w:val="18"/>
          <w:lang w:eastAsia="en-US"/>
        </w:rPr>
        <w:t xml:space="preserve">. De </w:t>
      </w:r>
      <w:r w:rsidR="001E79AD">
        <w:rPr>
          <w:rFonts w:eastAsia="Calibri" w:cs="Verdana"/>
          <w:szCs w:val="18"/>
          <w:lang w:eastAsia="en-US"/>
        </w:rPr>
        <w:t>verdeling</w:t>
      </w:r>
      <w:r w:rsidR="001E79AD" w:rsidRPr="00CD556D">
        <w:rPr>
          <w:rFonts w:eastAsia="Calibri" w:cs="Verdana"/>
          <w:szCs w:val="18"/>
          <w:lang w:eastAsia="en-US"/>
        </w:rPr>
        <w:t xml:space="preserve"> door OCHA van </w:t>
      </w:r>
      <w:proofErr w:type="spellStart"/>
      <w:r w:rsidR="00145A7D" w:rsidRPr="00145A7D">
        <w:rPr>
          <w:i/>
        </w:rPr>
        <w:t>core</w:t>
      </w:r>
      <w:proofErr w:type="spellEnd"/>
      <w:r w:rsidR="001E79AD" w:rsidRPr="00CD556D">
        <w:rPr>
          <w:rFonts w:eastAsia="Calibri" w:cs="Verdana"/>
          <w:szCs w:val="18"/>
          <w:lang w:eastAsia="en-US"/>
        </w:rPr>
        <w:t xml:space="preserve"> fondsen vindt plaats per kwartaal en is gebaseerd op noden en financieringstekorten. </w:t>
      </w:r>
      <w:r w:rsidR="005C4884">
        <w:t xml:space="preserve">Om tegemoet te komen aan de wens van donoren om het beheer van </w:t>
      </w:r>
      <w:r w:rsidR="00662F0B">
        <w:t xml:space="preserve">de </w:t>
      </w:r>
      <w:proofErr w:type="spellStart"/>
      <w:r w:rsidR="005C4884">
        <w:t>CBPF</w:t>
      </w:r>
      <w:r w:rsidR="005370D9">
        <w:t>’</w:t>
      </w:r>
      <w:r w:rsidR="00662F0B">
        <w:t>s</w:t>
      </w:r>
      <w:proofErr w:type="spellEnd"/>
      <w:r w:rsidR="005C4884">
        <w:t xml:space="preserve"> te verbeteren is in 2016 besloten de operationele kosten </w:t>
      </w:r>
      <w:r w:rsidR="00662F0B">
        <w:t>hier</w:t>
      </w:r>
      <w:r w:rsidR="005C4884">
        <w:t xml:space="preserve">van direct uit de middelen van de </w:t>
      </w:r>
      <w:proofErr w:type="spellStart"/>
      <w:r w:rsidR="005C4884">
        <w:t>CBPF</w:t>
      </w:r>
      <w:r w:rsidR="005370D9">
        <w:t>’</w:t>
      </w:r>
      <w:r w:rsidR="005C4884">
        <w:t>s</w:t>
      </w:r>
      <w:proofErr w:type="spellEnd"/>
      <w:r w:rsidR="005C4884">
        <w:t xml:space="preserve"> te financieren, in plaats van uit de middelen voor OCHA-kantoren. Hierdoor is het mogelijk het budget voor operationele kosten af te laten hangen van de feitelijke situatie in het land (dus geen vast </w:t>
      </w:r>
      <w:r w:rsidR="00662F0B">
        <w:t>percentage</w:t>
      </w:r>
      <w:r w:rsidR="005C4884">
        <w:t xml:space="preserve"> van het totale budget). </w:t>
      </w:r>
      <w:proofErr w:type="spellStart"/>
      <w:r w:rsidR="005C4884">
        <w:t>HC’s</w:t>
      </w:r>
      <w:proofErr w:type="spellEnd"/>
      <w:r w:rsidR="005C4884">
        <w:t xml:space="preserve"> krijgen hierdoor de mogelijkheid voldoende middelen in te zetten om de activiteiten van ‘hun’ fondsen beter te monitoren.</w:t>
      </w:r>
    </w:p>
    <w:p w14:paraId="3D10B649" w14:textId="77777777" w:rsidR="002A310E" w:rsidRDefault="002A310E" w:rsidP="00DE3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D10B64C" w14:textId="77777777" w:rsidTr="00B06CE6">
        <w:tc>
          <w:tcPr>
            <w:tcW w:w="6912" w:type="dxa"/>
            <w:tcBorders>
              <w:top w:val="single" w:sz="12" w:space="0" w:color="auto"/>
              <w:left w:val="single" w:sz="12" w:space="0" w:color="auto"/>
              <w:bottom w:val="single" w:sz="12" w:space="0" w:color="auto"/>
            </w:tcBorders>
            <w:shd w:val="clear" w:color="auto" w:fill="D0CECE"/>
          </w:tcPr>
          <w:p w14:paraId="3D10B64A"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64B" w14:textId="77777777" w:rsidR="002A310E" w:rsidRPr="00EA0AA8" w:rsidRDefault="002A310E" w:rsidP="00382AE3">
            <w:pPr>
              <w:rPr>
                <w:b/>
              </w:rPr>
            </w:pPr>
            <w:r w:rsidRPr="00EA0AA8">
              <w:rPr>
                <w:b/>
              </w:rPr>
              <w:t>Score</w:t>
            </w:r>
          </w:p>
        </w:tc>
      </w:tr>
      <w:tr w:rsidR="002A310E" w14:paraId="3D10B64F" w14:textId="77777777" w:rsidTr="00382AE3">
        <w:tc>
          <w:tcPr>
            <w:tcW w:w="6912" w:type="dxa"/>
            <w:tcBorders>
              <w:top w:val="single" w:sz="12" w:space="0" w:color="auto"/>
              <w:left w:val="single" w:sz="12" w:space="0" w:color="auto"/>
            </w:tcBorders>
            <w:shd w:val="clear" w:color="auto" w:fill="auto"/>
          </w:tcPr>
          <w:p w14:paraId="3D10B64D" w14:textId="77777777" w:rsidR="002A310E" w:rsidRDefault="00927293" w:rsidP="00927293">
            <w:r>
              <w:t>Verhouding goedgekeurde begroting / ontvangen bijdragen</w:t>
            </w:r>
          </w:p>
        </w:tc>
        <w:tc>
          <w:tcPr>
            <w:tcW w:w="955" w:type="dxa"/>
            <w:tcBorders>
              <w:top w:val="single" w:sz="12" w:space="0" w:color="auto"/>
              <w:right w:val="single" w:sz="12" w:space="0" w:color="auto"/>
            </w:tcBorders>
            <w:shd w:val="clear" w:color="auto" w:fill="auto"/>
          </w:tcPr>
          <w:p w14:paraId="3D10B64E" w14:textId="77777777" w:rsidR="002A310E" w:rsidRDefault="00CD3B76" w:rsidP="00382AE3">
            <w:r>
              <w:t>2</w:t>
            </w:r>
          </w:p>
        </w:tc>
      </w:tr>
      <w:tr w:rsidR="002A310E" w14:paraId="3D10B652" w14:textId="77777777" w:rsidTr="00382AE3">
        <w:tc>
          <w:tcPr>
            <w:tcW w:w="6912" w:type="dxa"/>
            <w:tcBorders>
              <w:left w:val="single" w:sz="12" w:space="0" w:color="auto"/>
            </w:tcBorders>
            <w:shd w:val="clear" w:color="auto" w:fill="auto"/>
          </w:tcPr>
          <w:p w14:paraId="3D10B650" w14:textId="77777777" w:rsidR="002A310E" w:rsidRDefault="00927293" w:rsidP="00382AE3">
            <w:r>
              <w:t>Liquiditeitspositie en/of solvabiliteitspositie</w:t>
            </w:r>
          </w:p>
        </w:tc>
        <w:tc>
          <w:tcPr>
            <w:tcW w:w="955" w:type="dxa"/>
            <w:tcBorders>
              <w:right w:val="single" w:sz="12" w:space="0" w:color="auto"/>
            </w:tcBorders>
            <w:shd w:val="clear" w:color="auto" w:fill="auto"/>
          </w:tcPr>
          <w:p w14:paraId="3D10B651" w14:textId="77777777" w:rsidR="002A310E" w:rsidRDefault="009E5227" w:rsidP="00382AE3">
            <w:r>
              <w:t>2</w:t>
            </w:r>
          </w:p>
        </w:tc>
      </w:tr>
      <w:tr w:rsidR="002A310E" w14:paraId="3D10B655" w14:textId="77777777" w:rsidTr="00382AE3">
        <w:tc>
          <w:tcPr>
            <w:tcW w:w="6912" w:type="dxa"/>
            <w:tcBorders>
              <w:left w:val="single" w:sz="12" w:space="0" w:color="auto"/>
            </w:tcBorders>
            <w:shd w:val="clear" w:color="auto" w:fill="auto"/>
          </w:tcPr>
          <w:p w14:paraId="3D10B653" w14:textId="77777777" w:rsidR="002A310E" w:rsidRDefault="00927293" w:rsidP="00382AE3">
            <w:r>
              <w:t>Interne auditfunctie</w:t>
            </w:r>
          </w:p>
        </w:tc>
        <w:tc>
          <w:tcPr>
            <w:tcW w:w="955" w:type="dxa"/>
            <w:tcBorders>
              <w:right w:val="single" w:sz="12" w:space="0" w:color="auto"/>
            </w:tcBorders>
            <w:shd w:val="clear" w:color="auto" w:fill="auto"/>
          </w:tcPr>
          <w:p w14:paraId="3D10B654" w14:textId="42298F41" w:rsidR="002A310E" w:rsidRDefault="00D85684" w:rsidP="00382AE3">
            <w:r>
              <w:t>3</w:t>
            </w:r>
          </w:p>
        </w:tc>
      </w:tr>
      <w:tr w:rsidR="00927293" w14:paraId="3D10B658" w14:textId="77777777" w:rsidTr="00382AE3">
        <w:tc>
          <w:tcPr>
            <w:tcW w:w="6912" w:type="dxa"/>
            <w:tcBorders>
              <w:left w:val="single" w:sz="12" w:space="0" w:color="auto"/>
            </w:tcBorders>
            <w:shd w:val="clear" w:color="auto" w:fill="auto"/>
          </w:tcPr>
          <w:p w14:paraId="3D10B656" w14:textId="77777777" w:rsidR="00927293" w:rsidRDefault="00927293" w:rsidP="00382AE3">
            <w:r>
              <w:t>Kwaliteit rapportages</w:t>
            </w:r>
          </w:p>
        </w:tc>
        <w:tc>
          <w:tcPr>
            <w:tcW w:w="955" w:type="dxa"/>
            <w:tcBorders>
              <w:right w:val="single" w:sz="12" w:space="0" w:color="auto"/>
            </w:tcBorders>
            <w:shd w:val="clear" w:color="auto" w:fill="auto"/>
          </w:tcPr>
          <w:p w14:paraId="3D10B657" w14:textId="77777777" w:rsidR="00927293" w:rsidRDefault="00CD3B76" w:rsidP="00382AE3">
            <w:r>
              <w:t>3</w:t>
            </w:r>
          </w:p>
        </w:tc>
      </w:tr>
      <w:tr w:rsidR="00927293" w14:paraId="3D10B65B" w14:textId="77777777" w:rsidTr="00382AE3">
        <w:tc>
          <w:tcPr>
            <w:tcW w:w="6912" w:type="dxa"/>
            <w:tcBorders>
              <w:left w:val="single" w:sz="12" w:space="0" w:color="auto"/>
            </w:tcBorders>
            <w:shd w:val="clear" w:color="auto" w:fill="auto"/>
          </w:tcPr>
          <w:p w14:paraId="3D10B659" w14:textId="77777777" w:rsidR="00927293" w:rsidRDefault="00927293" w:rsidP="00382AE3">
            <w:r>
              <w:t>Samenhang tussen inhoudelijke en financiële rapportages</w:t>
            </w:r>
          </w:p>
        </w:tc>
        <w:tc>
          <w:tcPr>
            <w:tcW w:w="955" w:type="dxa"/>
            <w:tcBorders>
              <w:right w:val="single" w:sz="12" w:space="0" w:color="auto"/>
            </w:tcBorders>
            <w:shd w:val="clear" w:color="auto" w:fill="auto"/>
          </w:tcPr>
          <w:p w14:paraId="3D10B65A" w14:textId="77777777" w:rsidR="00927293" w:rsidRDefault="00CD3B76" w:rsidP="00382AE3">
            <w:r>
              <w:t>3</w:t>
            </w:r>
          </w:p>
        </w:tc>
      </w:tr>
      <w:tr w:rsidR="002A310E" w:rsidRPr="00EA0AA8" w14:paraId="3D10B65E" w14:textId="77777777" w:rsidTr="00B06CE6">
        <w:tc>
          <w:tcPr>
            <w:tcW w:w="6912" w:type="dxa"/>
            <w:tcBorders>
              <w:top w:val="single" w:sz="12" w:space="0" w:color="auto"/>
              <w:left w:val="single" w:sz="12" w:space="0" w:color="auto"/>
              <w:bottom w:val="single" w:sz="12" w:space="0" w:color="auto"/>
            </w:tcBorders>
            <w:shd w:val="clear" w:color="auto" w:fill="D0CECE"/>
          </w:tcPr>
          <w:p w14:paraId="3D10B65C"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5D" w14:textId="35067EAA" w:rsidR="002A310E" w:rsidRPr="00EA0AA8" w:rsidRDefault="00D85684" w:rsidP="00382AE3">
            <w:pPr>
              <w:rPr>
                <w:b/>
              </w:rPr>
            </w:pPr>
            <w:r>
              <w:rPr>
                <w:b/>
              </w:rPr>
              <w:t>3</w:t>
            </w:r>
          </w:p>
        </w:tc>
      </w:tr>
    </w:tbl>
    <w:p w14:paraId="54ACC063" w14:textId="77777777" w:rsidR="00633895" w:rsidRDefault="00633895" w:rsidP="00D32F98"/>
    <w:p w14:paraId="3D10B660" w14:textId="1A3CBDF9" w:rsidR="001F0341" w:rsidRDefault="00D32F98" w:rsidP="003B3E90">
      <w:pPr>
        <w:ind w:firstLine="227"/>
      </w:pPr>
      <w:r w:rsidRPr="00193994">
        <w:t>Ver</w:t>
      </w:r>
      <w:r>
        <w:t xml:space="preserve">andering sinds 2015: </w:t>
      </w:r>
      <w:r w:rsidR="00D85684">
        <w:t>neutraal</w:t>
      </w:r>
      <w:r w:rsidR="00D85684" w:rsidRPr="00193994">
        <w:t xml:space="preserve"> =  </w:t>
      </w:r>
      <w:r w:rsidR="00D85684" w:rsidRPr="00193994">
        <w:sym w:font="Wingdings" w:char="F0E8"/>
      </w:r>
    </w:p>
    <w:p w14:paraId="2750B374" w14:textId="77777777" w:rsidR="00AD4A0F" w:rsidRPr="003B3E90" w:rsidRDefault="00AD4A0F" w:rsidP="003B3E90">
      <w:pPr>
        <w:ind w:firstLine="227"/>
        <w:rPr>
          <w:rFonts w:ascii="Segoe UI Emoji" w:eastAsia="Segoe UI Emoji" w:hAnsi="Segoe UI Emoji" w:cs="Segoe UI Emoji"/>
          <w:b/>
        </w:rPr>
      </w:pPr>
    </w:p>
    <w:p w14:paraId="3D10B661" w14:textId="446B18BE" w:rsidR="00382AE3" w:rsidRPr="009256D4" w:rsidRDefault="00633895" w:rsidP="00382AE3">
      <w:pPr>
        <w:pStyle w:val="Heading2"/>
        <w:tabs>
          <w:tab w:val="left" w:pos="-1162"/>
          <w:tab w:val="left" w:pos="0"/>
          <w:tab w:val="num" w:pos="1160"/>
        </w:tabs>
        <w:spacing w:line="240" w:lineRule="auto"/>
        <w:ind w:hanging="1162"/>
        <w:rPr>
          <w:color w:val="FF0000"/>
        </w:rPr>
      </w:pPr>
      <w:bookmarkStart w:id="37" w:name="_Toc491439710"/>
      <w:r>
        <w:t>4</w:t>
      </w:r>
      <w:r w:rsidR="00382AE3">
        <w:t>.8</w:t>
      </w:r>
      <w:r w:rsidR="00382AE3" w:rsidRPr="004D372F">
        <w:t xml:space="preserve"> </w:t>
      </w:r>
      <w:r w:rsidR="00382AE3">
        <w:tab/>
      </w:r>
      <w:r w:rsidR="001626C6">
        <w:t>Kosten</w:t>
      </w:r>
      <w:r w:rsidR="00313554">
        <w:t>reducti</w:t>
      </w:r>
      <w:r w:rsidR="006A3362" w:rsidRPr="00053739">
        <w:t>e</w:t>
      </w:r>
      <w:bookmarkEnd w:id="37"/>
    </w:p>
    <w:p w14:paraId="238F8134" w14:textId="645617CB" w:rsidR="00441FB3" w:rsidRDefault="00AE0629" w:rsidP="00441FB3">
      <w:r>
        <w:t xml:space="preserve">OCHA wordt positief beoordeeld op kostenefficiëntie in civiel-militaire coördinatie, binnen het CERF en overwegend </w:t>
      </w:r>
      <w:r w:rsidR="001626C6">
        <w:t xml:space="preserve">positief </w:t>
      </w:r>
      <w:r>
        <w:t xml:space="preserve">op het gebied van </w:t>
      </w:r>
      <w:proofErr w:type="spellStart"/>
      <w:r w:rsidR="00501C53" w:rsidRPr="00217B80">
        <w:rPr>
          <w:i/>
        </w:rPr>
        <w:t>preparedness</w:t>
      </w:r>
      <w:proofErr w:type="spellEnd"/>
      <w:r>
        <w:t xml:space="preserve">. Echter, in de uitvoering van de door OCHA beheerde </w:t>
      </w:r>
      <w:proofErr w:type="spellStart"/>
      <w:r w:rsidRPr="005F0BC8">
        <w:rPr>
          <w:i/>
        </w:rPr>
        <w:t>pooled</w:t>
      </w:r>
      <w:proofErr w:type="spellEnd"/>
      <w:r w:rsidRPr="005F0BC8">
        <w:rPr>
          <w:i/>
        </w:rPr>
        <w:t xml:space="preserve"> funds</w:t>
      </w:r>
      <w:r>
        <w:t xml:space="preserve"> kunnen nog effici</w:t>
      </w:r>
      <w:r w:rsidR="001626C6">
        <w:t>ëntie</w:t>
      </w:r>
      <w:r>
        <w:t xml:space="preserve">slagen </w:t>
      </w:r>
      <w:r>
        <w:lastRenderedPageBreak/>
        <w:t xml:space="preserve">worden gemaakt. </w:t>
      </w:r>
      <w:r w:rsidR="001626C6">
        <w:t xml:space="preserve">Het </w:t>
      </w:r>
      <w:r>
        <w:t xml:space="preserve">gestarte hervormingsproces </w:t>
      </w:r>
      <w:r w:rsidR="001626C6">
        <w:t xml:space="preserve">naar aanleiding van de </w:t>
      </w:r>
      <w:proofErr w:type="spellStart"/>
      <w:r w:rsidR="001626C6">
        <w:rPr>
          <w:i/>
        </w:rPr>
        <w:t>Functional</w:t>
      </w:r>
      <w:proofErr w:type="spellEnd"/>
      <w:r w:rsidR="001626C6">
        <w:rPr>
          <w:i/>
        </w:rPr>
        <w:t xml:space="preserve"> Review</w:t>
      </w:r>
      <w:r w:rsidR="001626C6">
        <w:t xml:space="preserve"> </w:t>
      </w:r>
      <w:r>
        <w:t>zal specifiek aandacht schenken aan de verbeteringen in de organisatie ter versterking van de kostenefficiëntie en effectiviteit. De beloning</w:t>
      </w:r>
      <w:r w:rsidR="001626C6">
        <w:t>s</w:t>
      </w:r>
      <w:r>
        <w:t>structuur va</w:t>
      </w:r>
      <w:r w:rsidR="00427289">
        <w:t>n OCHA wordt gereguleerd door VN-brede afspraken, waardoor discussie over mogelijke versoberingen nauwelijks gevoerd wordt.</w:t>
      </w:r>
      <w:r w:rsidR="00BE2BD9">
        <w:t xml:space="preserve"> De overhead voor OCHA zelf bedraagt </w:t>
      </w:r>
      <w:r w:rsidR="005F0BC8">
        <w:t>c</w:t>
      </w:r>
      <w:r w:rsidR="001626C6">
        <w:t>irc</w:t>
      </w:r>
      <w:r w:rsidR="005F0BC8">
        <w:t>a</w:t>
      </w:r>
      <w:r w:rsidR="00BE2BD9">
        <w:t xml:space="preserve"> 7%, voor CERF en </w:t>
      </w:r>
      <w:r w:rsidR="001626C6">
        <w:t xml:space="preserve">voor </w:t>
      </w:r>
      <w:r w:rsidR="00BE2BD9">
        <w:t xml:space="preserve">de </w:t>
      </w:r>
      <w:proofErr w:type="spellStart"/>
      <w:r w:rsidR="00BE2BD9">
        <w:t>CBPF</w:t>
      </w:r>
      <w:r w:rsidR="005370D9">
        <w:t>’</w:t>
      </w:r>
      <w:r w:rsidR="00BE2BD9">
        <w:t>s</w:t>
      </w:r>
      <w:proofErr w:type="spellEnd"/>
      <w:r w:rsidR="00BE2BD9">
        <w:t xml:space="preserve"> </w:t>
      </w:r>
      <w:r w:rsidR="005F0BC8">
        <w:t>c</w:t>
      </w:r>
      <w:r w:rsidR="001626C6">
        <w:t>irca</w:t>
      </w:r>
      <w:r w:rsidR="00FF58F4">
        <w:t xml:space="preserve"> </w:t>
      </w:r>
      <w:r w:rsidR="00BE2BD9">
        <w:t xml:space="preserve">2%. Gezien het feit dat de meeste VN-organisaties een overhead hanteren van 8% functioneert OCHA binnen de eisen, hetgeen mede is ingegeven door de wens van OCHA om te kunnen voldoen aan de verplichtingen in het kader van de </w:t>
      </w:r>
      <w:r w:rsidR="00BE2BD9" w:rsidRPr="005370D9">
        <w:rPr>
          <w:i/>
        </w:rPr>
        <w:t xml:space="preserve">Grand </w:t>
      </w:r>
      <w:proofErr w:type="spellStart"/>
      <w:r w:rsidR="00BE2BD9" w:rsidRPr="005370D9">
        <w:rPr>
          <w:i/>
        </w:rPr>
        <w:t>Bargain</w:t>
      </w:r>
      <w:proofErr w:type="spellEnd"/>
      <w:r w:rsidR="00BE2BD9">
        <w:t>.</w:t>
      </w:r>
      <w:r w:rsidR="00441FB3">
        <w:t xml:space="preserve"> OCHA </w:t>
      </w:r>
      <w:r w:rsidR="00441FB3">
        <w:rPr>
          <w:rStyle w:val="normaltextrun"/>
          <w:rFonts w:cs="Segoe UI"/>
          <w:szCs w:val="18"/>
        </w:rPr>
        <w:t>volgt het algemene VN-beleid wat betreft salarissen en secundaire arbeidsvoorwaarden. Dit wordt in de vijfde commissie vastgesteld.</w:t>
      </w:r>
    </w:p>
    <w:p w14:paraId="3D10B664" w14:textId="77777777" w:rsidR="00382AE3" w:rsidRPr="00382AE3" w:rsidRDefault="00382AE3" w:rsidP="00A13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382AE3" w:rsidRPr="00EA0AA8" w14:paraId="3D10B667" w14:textId="77777777" w:rsidTr="00B06CE6">
        <w:tc>
          <w:tcPr>
            <w:tcW w:w="6912" w:type="dxa"/>
            <w:tcBorders>
              <w:top w:val="single" w:sz="12" w:space="0" w:color="auto"/>
              <w:left w:val="single" w:sz="12" w:space="0" w:color="auto"/>
              <w:bottom w:val="single" w:sz="12" w:space="0" w:color="auto"/>
            </w:tcBorders>
            <w:shd w:val="clear" w:color="auto" w:fill="D0CECE"/>
          </w:tcPr>
          <w:p w14:paraId="3D10B665" w14:textId="77777777" w:rsidR="00382AE3" w:rsidRPr="00EA0AA8" w:rsidRDefault="00382AE3"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666" w14:textId="77777777" w:rsidR="00382AE3" w:rsidRPr="00EA0AA8" w:rsidRDefault="00382AE3" w:rsidP="00382AE3">
            <w:pPr>
              <w:rPr>
                <w:b/>
              </w:rPr>
            </w:pPr>
            <w:r w:rsidRPr="00EA0AA8">
              <w:rPr>
                <w:b/>
              </w:rPr>
              <w:t>Score</w:t>
            </w:r>
          </w:p>
        </w:tc>
      </w:tr>
      <w:tr w:rsidR="00382AE3" w14:paraId="3D10B66A" w14:textId="77777777" w:rsidTr="00382AE3">
        <w:tc>
          <w:tcPr>
            <w:tcW w:w="6912" w:type="dxa"/>
            <w:tcBorders>
              <w:top w:val="single" w:sz="12" w:space="0" w:color="auto"/>
              <w:left w:val="single" w:sz="12" w:space="0" w:color="auto"/>
            </w:tcBorders>
            <w:shd w:val="clear" w:color="auto" w:fill="auto"/>
          </w:tcPr>
          <w:p w14:paraId="3D10B668" w14:textId="77777777" w:rsidR="00382AE3" w:rsidRDefault="002568BC" w:rsidP="00382AE3">
            <w:r>
              <w:t>Verhouding programma-uitgaven/overhead</w:t>
            </w:r>
          </w:p>
        </w:tc>
        <w:tc>
          <w:tcPr>
            <w:tcW w:w="955" w:type="dxa"/>
            <w:tcBorders>
              <w:top w:val="single" w:sz="12" w:space="0" w:color="auto"/>
              <w:right w:val="single" w:sz="12" w:space="0" w:color="auto"/>
            </w:tcBorders>
            <w:shd w:val="clear" w:color="auto" w:fill="auto"/>
          </w:tcPr>
          <w:p w14:paraId="3D10B669" w14:textId="77777777" w:rsidR="00382AE3" w:rsidRDefault="007E10EE" w:rsidP="00382AE3">
            <w:r>
              <w:t>4</w:t>
            </w:r>
          </w:p>
        </w:tc>
      </w:tr>
      <w:tr w:rsidR="00382AE3" w14:paraId="3D10B66D" w14:textId="77777777" w:rsidTr="00382AE3">
        <w:tc>
          <w:tcPr>
            <w:tcW w:w="6912" w:type="dxa"/>
            <w:tcBorders>
              <w:left w:val="single" w:sz="12" w:space="0" w:color="auto"/>
            </w:tcBorders>
            <w:shd w:val="clear" w:color="auto" w:fill="auto"/>
          </w:tcPr>
          <w:p w14:paraId="3D10B66B" w14:textId="77777777" w:rsidR="00382AE3" w:rsidRDefault="002568BC" w:rsidP="00A21A93">
            <w:r>
              <w:t>Kosteneff</w:t>
            </w:r>
            <w:r w:rsidR="00A21A93">
              <w:t xml:space="preserve">ectiviteit </w:t>
            </w:r>
            <w:r>
              <w:t>programma’s</w:t>
            </w:r>
          </w:p>
        </w:tc>
        <w:tc>
          <w:tcPr>
            <w:tcW w:w="955" w:type="dxa"/>
            <w:tcBorders>
              <w:right w:val="single" w:sz="12" w:space="0" w:color="auto"/>
            </w:tcBorders>
            <w:shd w:val="clear" w:color="auto" w:fill="auto"/>
          </w:tcPr>
          <w:p w14:paraId="3D10B66C" w14:textId="77777777" w:rsidR="00382AE3" w:rsidRDefault="007E10EE" w:rsidP="00382AE3">
            <w:r>
              <w:t>3</w:t>
            </w:r>
          </w:p>
        </w:tc>
      </w:tr>
      <w:tr w:rsidR="00382AE3" w14:paraId="3D10B670" w14:textId="77777777" w:rsidTr="00382AE3">
        <w:tc>
          <w:tcPr>
            <w:tcW w:w="6912" w:type="dxa"/>
            <w:tcBorders>
              <w:left w:val="single" w:sz="12" w:space="0" w:color="auto"/>
            </w:tcBorders>
            <w:shd w:val="clear" w:color="auto" w:fill="auto"/>
          </w:tcPr>
          <w:p w14:paraId="3D10B66E" w14:textId="77777777" w:rsidR="00382AE3" w:rsidRDefault="002568BC" w:rsidP="00382AE3">
            <w:r>
              <w:t>Versobering salarissen en secundaire arbeidsvoorwaarden</w:t>
            </w:r>
          </w:p>
        </w:tc>
        <w:tc>
          <w:tcPr>
            <w:tcW w:w="955" w:type="dxa"/>
            <w:tcBorders>
              <w:right w:val="single" w:sz="12" w:space="0" w:color="auto"/>
            </w:tcBorders>
            <w:shd w:val="clear" w:color="auto" w:fill="auto"/>
          </w:tcPr>
          <w:p w14:paraId="3D10B66F" w14:textId="41A83F28" w:rsidR="00382AE3" w:rsidRDefault="00884B23" w:rsidP="00382AE3">
            <w:r>
              <w:t>3</w:t>
            </w:r>
          </w:p>
        </w:tc>
      </w:tr>
      <w:tr w:rsidR="00382AE3" w:rsidRPr="00EA0AA8" w14:paraId="3D10B673" w14:textId="77777777" w:rsidTr="00B06CE6">
        <w:tc>
          <w:tcPr>
            <w:tcW w:w="6912" w:type="dxa"/>
            <w:tcBorders>
              <w:top w:val="single" w:sz="12" w:space="0" w:color="auto"/>
              <w:left w:val="single" w:sz="12" w:space="0" w:color="auto"/>
              <w:bottom w:val="single" w:sz="12" w:space="0" w:color="auto"/>
            </w:tcBorders>
            <w:shd w:val="clear" w:color="auto" w:fill="D0CECE"/>
          </w:tcPr>
          <w:p w14:paraId="3D10B671" w14:textId="77777777" w:rsidR="00382AE3" w:rsidRPr="00EA0AA8" w:rsidRDefault="00382AE3"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72" w14:textId="77777777" w:rsidR="00382AE3" w:rsidRPr="00EA0AA8" w:rsidRDefault="007E10EE" w:rsidP="00382AE3">
            <w:pPr>
              <w:rPr>
                <w:b/>
              </w:rPr>
            </w:pPr>
            <w:r>
              <w:rPr>
                <w:b/>
              </w:rPr>
              <w:t>3</w:t>
            </w:r>
          </w:p>
        </w:tc>
      </w:tr>
    </w:tbl>
    <w:p w14:paraId="7872DE46" w14:textId="77777777" w:rsidR="00633895" w:rsidRDefault="00633895" w:rsidP="0031751C"/>
    <w:p w14:paraId="3D10B674" w14:textId="119767B9" w:rsidR="006A670C" w:rsidRDefault="00D32F98" w:rsidP="00633895">
      <w:pPr>
        <w:ind w:firstLine="227"/>
      </w:pPr>
      <w:r w:rsidRPr="00193994">
        <w:t>Ver</w:t>
      </w:r>
      <w:r>
        <w:t>andering sinds 2015: positief</w:t>
      </w:r>
      <w:r w:rsidRPr="00193994">
        <w:t xml:space="preserve"> =  </w:t>
      </w:r>
      <w:r w:rsidRPr="00193994">
        <w:sym w:font="Wingdings" w:char="F0E9"/>
      </w:r>
      <w:r>
        <w:t xml:space="preserve"> </w:t>
      </w:r>
    </w:p>
    <w:p w14:paraId="3D10B675" w14:textId="77777777" w:rsidR="007E10EE" w:rsidRPr="008517DE" w:rsidRDefault="007E10EE" w:rsidP="0031751C"/>
    <w:p w14:paraId="3D10B676" w14:textId="1D24E37A" w:rsidR="00DE343C" w:rsidRPr="004D372F" w:rsidRDefault="00633895" w:rsidP="004D372F">
      <w:pPr>
        <w:pStyle w:val="Heading2"/>
        <w:tabs>
          <w:tab w:val="left" w:pos="-1162"/>
          <w:tab w:val="left" w:pos="0"/>
          <w:tab w:val="num" w:pos="1160"/>
        </w:tabs>
        <w:spacing w:line="240" w:lineRule="auto"/>
        <w:ind w:hanging="1162"/>
      </w:pPr>
      <w:bookmarkStart w:id="38" w:name="_Toc491439711"/>
      <w:r>
        <w:t>4</w:t>
      </w:r>
      <w:r w:rsidR="000A22CF">
        <w:t>.</w:t>
      </w:r>
      <w:r w:rsidR="00382AE3">
        <w:t>9</w:t>
      </w:r>
      <w:r w:rsidR="004D372F" w:rsidRPr="004D372F">
        <w:t xml:space="preserve"> </w:t>
      </w:r>
      <w:r w:rsidR="004D372F">
        <w:tab/>
      </w:r>
      <w:r w:rsidR="00DE343C" w:rsidRPr="004D372F">
        <w:t>Corruptiebestrijding</w:t>
      </w:r>
      <w:bookmarkEnd w:id="38"/>
      <w:r w:rsidR="000F53BE">
        <w:t xml:space="preserve"> </w:t>
      </w:r>
    </w:p>
    <w:p w14:paraId="3D10B678" w14:textId="56667E84" w:rsidR="009256D4" w:rsidRPr="00981302" w:rsidRDefault="009256D4" w:rsidP="009256D4">
      <w:pPr>
        <w:autoSpaceDE w:val="0"/>
        <w:autoSpaceDN w:val="0"/>
        <w:adjustRightInd w:val="0"/>
        <w:spacing w:line="240" w:lineRule="auto"/>
        <w:rPr>
          <w:rFonts w:eastAsia="Calibri" w:cs="Verdana"/>
          <w:szCs w:val="18"/>
          <w:lang w:eastAsia="en-US"/>
        </w:rPr>
      </w:pPr>
      <w:r w:rsidRPr="00981302">
        <w:rPr>
          <w:rFonts w:eastAsia="Calibri" w:cs="Verdana"/>
          <w:szCs w:val="18"/>
          <w:lang w:eastAsia="en-US"/>
        </w:rPr>
        <w:t>Het corruptierisico bij OCHA is klein. OCHA is geen uitvoerende organisatie en heeft –</w:t>
      </w:r>
      <w:r>
        <w:rPr>
          <w:rFonts w:eastAsia="Calibri" w:cs="Verdana"/>
          <w:szCs w:val="18"/>
          <w:lang w:eastAsia="en-US"/>
        </w:rPr>
        <w:t xml:space="preserve"> </w:t>
      </w:r>
      <w:r w:rsidRPr="00981302">
        <w:rPr>
          <w:rFonts w:eastAsia="Calibri" w:cs="Verdana"/>
          <w:szCs w:val="18"/>
          <w:lang w:eastAsia="en-US"/>
        </w:rPr>
        <w:t>zoals ieder onderdeel van de VN - interne controlemaatregelen ter voorkoming en bestrijding van corruptie</w:t>
      </w:r>
      <w:r w:rsidR="003B3E90">
        <w:rPr>
          <w:rFonts w:eastAsia="Calibri" w:cs="Verdana"/>
          <w:szCs w:val="18"/>
          <w:lang w:eastAsia="en-US"/>
        </w:rPr>
        <w:t xml:space="preserve"> en fraude</w:t>
      </w:r>
      <w:r w:rsidRPr="00981302">
        <w:rPr>
          <w:rFonts w:eastAsia="Calibri" w:cs="Verdana"/>
          <w:szCs w:val="18"/>
          <w:lang w:eastAsia="en-US"/>
        </w:rPr>
        <w:t xml:space="preserve">. </w:t>
      </w:r>
      <w:proofErr w:type="spellStart"/>
      <w:r w:rsidRPr="00981302">
        <w:rPr>
          <w:rFonts w:eastAsia="Calibri" w:cs="Verdana"/>
          <w:szCs w:val="18"/>
          <w:lang w:eastAsia="en-US"/>
        </w:rPr>
        <w:t>OCHA’s</w:t>
      </w:r>
      <w:proofErr w:type="spellEnd"/>
      <w:r w:rsidRPr="00981302">
        <w:rPr>
          <w:rFonts w:eastAsia="Calibri" w:cs="Verdana"/>
          <w:szCs w:val="18"/>
          <w:lang w:eastAsia="en-US"/>
        </w:rPr>
        <w:t xml:space="preserve"> functioneren in termen van de naleving van financiële regelgeving en standaarden, implementatie van aanbevelingen en accountantscontroles wordt gemonitord door het </w:t>
      </w:r>
      <w:r w:rsidRPr="00981302">
        <w:rPr>
          <w:rFonts w:eastAsia="Calibri" w:cs="Verdana"/>
          <w:i/>
          <w:iCs/>
          <w:szCs w:val="18"/>
          <w:lang w:eastAsia="en-US"/>
        </w:rPr>
        <w:t>Management</w:t>
      </w:r>
    </w:p>
    <w:p w14:paraId="3D10B679" w14:textId="4CD09DEE" w:rsidR="00F578E8" w:rsidRDefault="009256D4" w:rsidP="009256D4">
      <w:pPr>
        <w:autoSpaceDE w:val="0"/>
        <w:autoSpaceDN w:val="0"/>
        <w:adjustRightInd w:val="0"/>
        <w:spacing w:line="240" w:lineRule="auto"/>
        <w:rPr>
          <w:rFonts w:eastAsia="Calibri" w:cs="Verdana"/>
          <w:szCs w:val="18"/>
          <w:lang w:eastAsia="en-US"/>
        </w:rPr>
      </w:pPr>
      <w:proofErr w:type="spellStart"/>
      <w:r w:rsidRPr="00981302">
        <w:rPr>
          <w:rFonts w:eastAsia="Calibri" w:cs="Verdana"/>
          <w:i/>
          <w:iCs/>
          <w:szCs w:val="18"/>
          <w:lang w:eastAsia="en-US"/>
        </w:rPr>
        <w:t>Committee</w:t>
      </w:r>
      <w:proofErr w:type="spellEnd"/>
      <w:r w:rsidRPr="00981302">
        <w:rPr>
          <w:rFonts w:eastAsia="Calibri" w:cs="Verdana"/>
          <w:i/>
          <w:iCs/>
          <w:szCs w:val="18"/>
          <w:lang w:eastAsia="en-US"/>
        </w:rPr>
        <w:t xml:space="preserve"> </w:t>
      </w:r>
      <w:r w:rsidRPr="00981302">
        <w:rPr>
          <w:rFonts w:eastAsia="Calibri" w:cs="Verdana"/>
          <w:szCs w:val="18"/>
          <w:lang w:eastAsia="en-US"/>
        </w:rPr>
        <w:t>(</w:t>
      </w:r>
      <w:r w:rsidR="001626C6">
        <w:rPr>
          <w:rFonts w:eastAsia="Calibri" w:cs="Verdana"/>
          <w:szCs w:val="18"/>
          <w:lang w:eastAsia="en-US"/>
        </w:rPr>
        <w:t xml:space="preserve">waarin </w:t>
      </w:r>
      <w:r w:rsidRPr="00981302">
        <w:rPr>
          <w:rFonts w:eastAsia="Calibri" w:cs="Verdana"/>
          <w:szCs w:val="18"/>
          <w:lang w:eastAsia="en-US"/>
        </w:rPr>
        <w:t>senior VN-medewerkers</w:t>
      </w:r>
      <w:r w:rsidR="001626C6">
        <w:rPr>
          <w:rFonts w:eastAsia="Calibri" w:cs="Verdana"/>
          <w:szCs w:val="18"/>
          <w:lang w:eastAsia="en-US"/>
        </w:rPr>
        <w:t xml:space="preserve"> zitting hebben</w:t>
      </w:r>
      <w:r w:rsidRPr="00981302">
        <w:rPr>
          <w:rFonts w:eastAsia="Calibri" w:cs="Verdana"/>
          <w:szCs w:val="18"/>
          <w:lang w:eastAsia="en-US"/>
        </w:rPr>
        <w:t xml:space="preserve">), het </w:t>
      </w:r>
      <w:r w:rsidRPr="00981302">
        <w:rPr>
          <w:rFonts w:eastAsia="Calibri" w:cs="Verdana"/>
          <w:i/>
          <w:iCs/>
          <w:szCs w:val="18"/>
          <w:lang w:eastAsia="en-US"/>
        </w:rPr>
        <w:t xml:space="preserve">Office of </w:t>
      </w:r>
      <w:proofErr w:type="spellStart"/>
      <w:r w:rsidRPr="00981302">
        <w:rPr>
          <w:rFonts w:eastAsia="Calibri" w:cs="Verdana"/>
          <w:i/>
          <w:iCs/>
          <w:szCs w:val="18"/>
          <w:lang w:eastAsia="en-US"/>
        </w:rPr>
        <w:t>Internal</w:t>
      </w:r>
      <w:proofErr w:type="spellEnd"/>
      <w:r w:rsidRPr="00981302">
        <w:rPr>
          <w:rFonts w:eastAsia="Calibri" w:cs="Verdana"/>
          <w:i/>
          <w:iCs/>
          <w:szCs w:val="18"/>
          <w:lang w:eastAsia="en-US"/>
        </w:rPr>
        <w:t xml:space="preserve"> </w:t>
      </w:r>
      <w:proofErr w:type="spellStart"/>
      <w:r w:rsidRPr="00981302">
        <w:rPr>
          <w:rFonts w:eastAsia="Calibri" w:cs="Verdana"/>
          <w:i/>
          <w:iCs/>
          <w:szCs w:val="18"/>
          <w:lang w:eastAsia="en-US"/>
        </w:rPr>
        <w:t>Oversight</w:t>
      </w:r>
      <w:proofErr w:type="spellEnd"/>
      <w:r w:rsidRPr="00981302">
        <w:rPr>
          <w:rFonts w:eastAsia="Calibri" w:cs="Verdana"/>
          <w:i/>
          <w:iCs/>
          <w:szCs w:val="18"/>
          <w:lang w:eastAsia="en-US"/>
        </w:rPr>
        <w:t xml:space="preserve"> Services </w:t>
      </w:r>
      <w:r w:rsidRPr="00981302">
        <w:rPr>
          <w:rFonts w:eastAsia="Calibri" w:cs="Verdana"/>
          <w:szCs w:val="18"/>
          <w:lang w:eastAsia="en-US"/>
        </w:rPr>
        <w:t xml:space="preserve">(intern onderzoek en auditbureau), de </w:t>
      </w:r>
      <w:r w:rsidRPr="00981302">
        <w:rPr>
          <w:rFonts w:eastAsia="Calibri" w:cs="Verdana"/>
          <w:i/>
          <w:iCs/>
          <w:szCs w:val="18"/>
          <w:lang w:eastAsia="en-US"/>
        </w:rPr>
        <w:t xml:space="preserve">Board of Auditors </w:t>
      </w:r>
      <w:r w:rsidRPr="00981302">
        <w:rPr>
          <w:rFonts w:eastAsia="Calibri" w:cs="Verdana"/>
          <w:szCs w:val="18"/>
          <w:lang w:eastAsia="en-US"/>
        </w:rPr>
        <w:t xml:space="preserve">(externe audit), de </w:t>
      </w:r>
      <w:r w:rsidRPr="00981302">
        <w:rPr>
          <w:rFonts w:eastAsia="Calibri" w:cs="Verdana"/>
          <w:i/>
          <w:iCs/>
          <w:szCs w:val="18"/>
          <w:lang w:eastAsia="en-US"/>
        </w:rPr>
        <w:t xml:space="preserve">Joint </w:t>
      </w:r>
      <w:proofErr w:type="spellStart"/>
      <w:r w:rsidRPr="00981302">
        <w:rPr>
          <w:rFonts w:eastAsia="Calibri" w:cs="Verdana"/>
          <w:i/>
          <w:iCs/>
          <w:szCs w:val="18"/>
          <w:lang w:eastAsia="en-US"/>
        </w:rPr>
        <w:t>Inspection</w:t>
      </w:r>
      <w:proofErr w:type="spellEnd"/>
      <w:r w:rsidRPr="00981302">
        <w:rPr>
          <w:rFonts w:eastAsia="Calibri" w:cs="Verdana"/>
          <w:i/>
          <w:iCs/>
          <w:szCs w:val="18"/>
          <w:lang w:eastAsia="en-US"/>
        </w:rPr>
        <w:t xml:space="preserve"> Unit</w:t>
      </w:r>
      <w:r w:rsidRPr="00981302">
        <w:rPr>
          <w:rFonts w:eastAsia="Calibri" w:cs="Verdana"/>
          <w:szCs w:val="18"/>
          <w:lang w:eastAsia="en-US"/>
        </w:rPr>
        <w:t xml:space="preserve">, de </w:t>
      </w:r>
      <w:r w:rsidRPr="00981302">
        <w:rPr>
          <w:rFonts w:eastAsia="Calibri" w:cs="Verdana"/>
          <w:i/>
          <w:iCs/>
          <w:szCs w:val="18"/>
          <w:lang w:eastAsia="en-US"/>
        </w:rPr>
        <w:t xml:space="preserve">Independent Audit </w:t>
      </w:r>
      <w:proofErr w:type="spellStart"/>
      <w:r w:rsidRPr="00981302">
        <w:rPr>
          <w:rFonts w:eastAsia="Calibri" w:cs="Verdana"/>
          <w:i/>
          <w:iCs/>
          <w:szCs w:val="18"/>
          <w:lang w:eastAsia="en-US"/>
        </w:rPr>
        <w:t>Advisory</w:t>
      </w:r>
      <w:proofErr w:type="spellEnd"/>
      <w:r w:rsidRPr="00981302">
        <w:rPr>
          <w:rFonts w:eastAsia="Calibri" w:cs="Verdana"/>
          <w:i/>
          <w:iCs/>
          <w:szCs w:val="18"/>
          <w:lang w:eastAsia="en-US"/>
        </w:rPr>
        <w:t xml:space="preserve"> </w:t>
      </w:r>
      <w:proofErr w:type="spellStart"/>
      <w:r w:rsidRPr="00981302">
        <w:rPr>
          <w:rFonts w:eastAsia="Calibri" w:cs="Verdana"/>
          <w:i/>
          <w:iCs/>
          <w:szCs w:val="18"/>
          <w:lang w:eastAsia="en-US"/>
        </w:rPr>
        <w:t>Committee</w:t>
      </w:r>
      <w:proofErr w:type="spellEnd"/>
      <w:r w:rsidRPr="00981302">
        <w:rPr>
          <w:rFonts w:eastAsia="Calibri" w:cs="Verdana"/>
          <w:i/>
          <w:iCs/>
          <w:szCs w:val="18"/>
          <w:lang w:eastAsia="en-US"/>
        </w:rPr>
        <w:t xml:space="preserve"> </w:t>
      </w:r>
      <w:r w:rsidRPr="00981302">
        <w:rPr>
          <w:rFonts w:eastAsia="Calibri" w:cs="Verdana"/>
          <w:szCs w:val="18"/>
          <w:lang w:eastAsia="en-US"/>
        </w:rPr>
        <w:t xml:space="preserve">en de </w:t>
      </w:r>
      <w:proofErr w:type="spellStart"/>
      <w:r w:rsidRPr="00981302">
        <w:rPr>
          <w:rFonts w:eastAsia="Calibri" w:cs="Verdana"/>
          <w:i/>
          <w:iCs/>
          <w:szCs w:val="18"/>
          <w:lang w:eastAsia="en-US"/>
        </w:rPr>
        <w:t>Department</w:t>
      </w:r>
      <w:proofErr w:type="spellEnd"/>
      <w:r w:rsidRPr="00981302">
        <w:rPr>
          <w:rFonts w:eastAsia="Calibri" w:cs="Verdana"/>
          <w:i/>
          <w:iCs/>
          <w:szCs w:val="18"/>
          <w:lang w:eastAsia="en-US"/>
        </w:rPr>
        <w:t xml:space="preserve"> of Management</w:t>
      </w:r>
      <w:r w:rsidRPr="00981302">
        <w:rPr>
          <w:rFonts w:eastAsia="Calibri" w:cs="Verdana"/>
          <w:szCs w:val="18"/>
          <w:lang w:eastAsia="en-US"/>
        </w:rPr>
        <w:t>. Bovendien vindt er externe accountantscontrole plaats. Zowel de</w:t>
      </w:r>
      <w:r w:rsidRPr="00981302">
        <w:rPr>
          <w:rFonts w:eastAsia="Calibri" w:cs="Verdana"/>
          <w:i/>
          <w:iCs/>
          <w:szCs w:val="18"/>
          <w:lang w:eastAsia="en-US"/>
        </w:rPr>
        <w:t xml:space="preserve"> </w:t>
      </w:r>
      <w:r w:rsidRPr="00981302">
        <w:rPr>
          <w:rFonts w:eastAsia="Calibri" w:cs="Verdana"/>
          <w:szCs w:val="18"/>
          <w:lang w:eastAsia="en-US"/>
        </w:rPr>
        <w:t>interne als externe auditsectie is voldoende kwalitatief en kwantitatief toegerust.</w:t>
      </w:r>
      <w:r>
        <w:rPr>
          <w:rFonts w:eastAsia="Calibri" w:cs="Verdana"/>
          <w:szCs w:val="18"/>
          <w:lang w:eastAsia="en-US"/>
        </w:rPr>
        <w:t xml:space="preserve"> Vanwege de inbedding in het VN-systeem bestaan voldoende waarborgen op het gebied van operationeel en financieel risicomanagement. Ook voor de </w:t>
      </w:r>
      <w:proofErr w:type="spellStart"/>
      <w:r w:rsidR="001F61E2">
        <w:rPr>
          <w:rFonts w:eastAsia="Calibri" w:cs="Verdana"/>
          <w:szCs w:val="18"/>
          <w:lang w:eastAsia="en-US"/>
        </w:rPr>
        <w:t>CBPF</w:t>
      </w:r>
      <w:r w:rsidR="005370D9">
        <w:rPr>
          <w:rFonts w:eastAsia="Calibri" w:cs="Verdana"/>
          <w:szCs w:val="18"/>
          <w:lang w:eastAsia="en-US"/>
        </w:rPr>
        <w:t>’</w:t>
      </w:r>
      <w:r w:rsidR="001F61E2">
        <w:rPr>
          <w:rFonts w:eastAsia="Calibri" w:cs="Verdana"/>
          <w:szCs w:val="18"/>
          <w:lang w:eastAsia="en-US"/>
        </w:rPr>
        <w:t>s</w:t>
      </w:r>
      <w:proofErr w:type="spellEnd"/>
      <w:r>
        <w:rPr>
          <w:rFonts w:eastAsia="Calibri" w:cs="Verdana"/>
          <w:szCs w:val="18"/>
          <w:lang w:eastAsia="en-US"/>
        </w:rPr>
        <w:t xml:space="preserve"> en het CERF is duidelijke regelgeving aanwezig</w:t>
      </w:r>
      <w:r w:rsidR="005D4510">
        <w:rPr>
          <w:rFonts w:eastAsia="Calibri" w:cs="Verdana"/>
          <w:szCs w:val="18"/>
          <w:lang w:eastAsia="en-US"/>
        </w:rPr>
        <w:t>.</w:t>
      </w:r>
      <w:r>
        <w:rPr>
          <w:rFonts w:eastAsia="Calibri" w:cs="Verdana"/>
          <w:szCs w:val="18"/>
          <w:lang w:eastAsia="en-US"/>
        </w:rPr>
        <w:t xml:space="preserve"> </w:t>
      </w:r>
      <w:r w:rsidR="00F578E8">
        <w:rPr>
          <w:rFonts w:eastAsia="Calibri" w:cs="Verdana"/>
          <w:szCs w:val="18"/>
          <w:lang w:eastAsia="en-US"/>
        </w:rPr>
        <w:t>Ee</w:t>
      </w:r>
      <w:r w:rsidR="001F61E2">
        <w:rPr>
          <w:rFonts w:eastAsia="Calibri" w:cs="Verdana"/>
          <w:szCs w:val="18"/>
          <w:lang w:eastAsia="en-US"/>
        </w:rPr>
        <w:t xml:space="preserve">n aantal fraudezaken in de </w:t>
      </w:r>
      <w:proofErr w:type="spellStart"/>
      <w:r w:rsidR="001F61E2">
        <w:rPr>
          <w:rFonts w:eastAsia="Calibri" w:cs="Verdana"/>
          <w:szCs w:val="18"/>
          <w:lang w:eastAsia="en-US"/>
        </w:rPr>
        <w:t>CBPF</w:t>
      </w:r>
      <w:r w:rsidR="005370D9">
        <w:rPr>
          <w:rFonts w:eastAsia="Calibri" w:cs="Verdana"/>
          <w:szCs w:val="18"/>
          <w:lang w:eastAsia="en-US"/>
        </w:rPr>
        <w:t>’</w:t>
      </w:r>
      <w:r w:rsidR="00F578E8">
        <w:rPr>
          <w:rFonts w:eastAsia="Calibri" w:cs="Verdana"/>
          <w:szCs w:val="18"/>
          <w:lang w:eastAsia="en-US"/>
        </w:rPr>
        <w:t>s</w:t>
      </w:r>
      <w:proofErr w:type="spellEnd"/>
      <w:r w:rsidR="00F578E8">
        <w:rPr>
          <w:rFonts w:eastAsia="Calibri" w:cs="Verdana"/>
          <w:szCs w:val="18"/>
          <w:lang w:eastAsia="en-US"/>
        </w:rPr>
        <w:t xml:space="preserve"> vanaf 2014 heeft ervoor gezorgd dat OCHA het risicomanagement heeft herzien en verbeterd. Op verzoek van donoren als Nederland is OCHA tevens transparanter geworden over integriteitsschendingen. Waar deze eerder naar donoren werden gecommuniceerd als alle bewijs geleverd was, wordt nu ook over verdenkingen gecommuniceerd. </w:t>
      </w:r>
      <w:r w:rsidR="005C4884">
        <w:rPr>
          <w:rFonts w:eastAsia="Calibri" w:cs="Verdana"/>
          <w:szCs w:val="18"/>
          <w:lang w:eastAsia="en-US"/>
        </w:rPr>
        <w:t xml:space="preserve">Voor wat betreft de </w:t>
      </w:r>
      <w:proofErr w:type="spellStart"/>
      <w:r w:rsidR="005C4884">
        <w:rPr>
          <w:rFonts w:eastAsia="Calibri" w:cs="Verdana"/>
          <w:szCs w:val="18"/>
          <w:lang w:eastAsia="en-US"/>
        </w:rPr>
        <w:t>CBPF</w:t>
      </w:r>
      <w:r w:rsidR="005370D9">
        <w:rPr>
          <w:rFonts w:eastAsia="Calibri" w:cs="Verdana"/>
          <w:szCs w:val="18"/>
          <w:lang w:eastAsia="en-US"/>
        </w:rPr>
        <w:t>’</w:t>
      </w:r>
      <w:r w:rsidR="005C4884">
        <w:rPr>
          <w:rFonts w:eastAsia="Calibri" w:cs="Verdana"/>
          <w:szCs w:val="18"/>
          <w:lang w:eastAsia="en-US"/>
        </w:rPr>
        <w:t>s</w:t>
      </w:r>
      <w:proofErr w:type="spellEnd"/>
      <w:r w:rsidR="005C4884">
        <w:rPr>
          <w:rFonts w:eastAsia="Calibri" w:cs="Verdana"/>
          <w:szCs w:val="18"/>
          <w:lang w:eastAsia="en-US"/>
        </w:rPr>
        <w:t xml:space="preserve">, worden op aandringen en met steun van het VK de Standard Operating Procedures van individuele donoren en de </w:t>
      </w:r>
      <w:proofErr w:type="spellStart"/>
      <w:r w:rsidR="005C4884">
        <w:rPr>
          <w:rFonts w:eastAsia="Calibri" w:cs="Verdana"/>
          <w:szCs w:val="18"/>
          <w:lang w:eastAsia="en-US"/>
        </w:rPr>
        <w:t>CBPF</w:t>
      </w:r>
      <w:r w:rsidR="005370D9">
        <w:rPr>
          <w:rFonts w:eastAsia="Calibri" w:cs="Verdana"/>
          <w:szCs w:val="18"/>
          <w:lang w:eastAsia="en-US"/>
        </w:rPr>
        <w:t>’</w:t>
      </w:r>
      <w:r w:rsidR="005C4884">
        <w:rPr>
          <w:rFonts w:eastAsia="Calibri" w:cs="Verdana"/>
          <w:szCs w:val="18"/>
          <w:lang w:eastAsia="en-US"/>
        </w:rPr>
        <w:t>s</w:t>
      </w:r>
      <w:proofErr w:type="spellEnd"/>
      <w:r w:rsidR="005C4884">
        <w:rPr>
          <w:rFonts w:eastAsia="Calibri" w:cs="Verdana"/>
          <w:szCs w:val="18"/>
          <w:lang w:eastAsia="en-US"/>
        </w:rPr>
        <w:t xml:space="preserve"> met elkaar vergeleken en waar mogelijk geharmoniseerd t</w:t>
      </w:r>
      <w:r w:rsidR="001F61E2">
        <w:rPr>
          <w:rFonts w:eastAsia="Calibri" w:cs="Verdana"/>
          <w:szCs w:val="18"/>
          <w:lang w:eastAsia="en-US"/>
        </w:rPr>
        <w:t>en behoeve van collectief risicomanagement</w:t>
      </w:r>
      <w:r w:rsidR="005C4884">
        <w:rPr>
          <w:rFonts w:eastAsia="Calibri" w:cs="Verdana"/>
          <w:szCs w:val="18"/>
          <w:lang w:eastAsia="en-US"/>
        </w:rPr>
        <w:t xml:space="preserve">. Dit aspect wordt ook expliciet opgenomen in het </w:t>
      </w:r>
      <w:r w:rsidR="00501C53" w:rsidRPr="007E4BCC">
        <w:rPr>
          <w:rFonts w:eastAsia="Calibri" w:cs="Verdana"/>
          <w:i/>
          <w:szCs w:val="18"/>
          <w:lang w:eastAsia="en-US"/>
        </w:rPr>
        <w:t>Common Performance Framework</w:t>
      </w:r>
      <w:r w:rsidR="005C4884">
        <w:rPr>
          <w:rFonts w:eastAsia="Calibri" w:cs="Verdana"/>
          <w:szCs w:val="18"/>
          <w:lang w:eastAsia="en-US"/>
        </w:rPr>
        <w:t xml:space="preserve">. Op het terrein van het voorkomen en mitigeren van fraude, wordt door OCHA en de PFWG samengewerkt met de Office of </w:t>
      </w:r>
      <w:proofErr w:type="spellStart"/>
      <w:r w:rsidR="005C4884" w:rsidRPr="005370D9">
        <w:rPr>
          <w:rFonts w:eastAsia="Calibri" w:cs="Verdana"/>
          <w:i/>
          <w:szCs w:val="18"/>
          <w:lang w:eastAsia="en-US"/>
        </w:rPr>
        <w:t>the</w:t>
      </w:r>
      <w:proofErr w:type="spellEnd"/>
      <w:r w:rsidR="005C4884" w:rsidRPr="005370D9">
        <w:rPr>
          <w:rFonts w:eastAsia="Calibri" w:cs="Verdana"/>
          <w:i/>
          <w:szCs w:val="18"/>
          <w:lang w:eastAsia="en-US"/>
        </w:rPr>
        <w:t xml:space="preserve"> </w:t>
      </w:r>
      <w:proofErr w:type="spellStart"/>
      <w:r w:rsidR="005C4884" w:rsidRPr="005370D9">
        <w:rPr>
          <w:rFonts w:eastAsia="Calibri" w:cs="Verdana"/>
          <w:i/>
          <w:szCs w:val="18"/>
          <w:lang w:eastAsia="en-US"/>
        </w:rPr>
        <w:t>Inspector</w:t>
      </w:r>
      <w:proofErr w:type="spellEnd"/>
      <w:r w:rsidR="005C4884" w:rsidRPr="005370D9">
        <w:rPr>
          <w:rFonts w:eastAsia="Calibri" w:cs="Verdana"/>
          <w:i/>
          <w:szCs w:val="18"/>
          <w:lang w:eastAsia="en-US"/>
        </w:rPr>
        <w:t xml:space="preserve"> General</w:t>
      </w:r>
      <w:r w:rsidR="005C4884">
        <w:rPr>
          <w:rFonts w:eastAsia="Calibri" w:cs="Verdana"/>
          <w:szCs w:val="18"/>
          <w:lang w:eastAsia="en-US"/>
        </w:rPr>
        <w:t xml:space="preserve"> van USAID. Hier wordt met name gekeken naar de interne-controlesystemen van de organisaties die middelen uit de </w:t>
      </w:r>
      <w:proofErr w:type="spellStart"/>
      <w:r w:rsidR="005C4884">
        <w:rPr>
          <w:rFonts w:eastAsia="Calibri" w:cs="Verdana"/>
          <w:szCs w:val="18"/>
          <w:lang w:eastAsia="en-US"/>
        </w:rPr>
        <w:t>CBPF</w:t>
      </w:r>
      <w:r w:rsidR="005370D9">
        <w:rPr>
          <w:rFonts w:eastAsia="Calibri" w:cs="Verdana"/>
          <w:szCs w:val="18"/>
          <w:lang w:eastAsia="en-US"/>
        </w:rPr>
        <w:t>’</w:t>
      </w:r>
      <w:r w:rsidR="005C4884">
        <w:rPr>
          <w:rFonts w:eastAsia="Calibri" w:cs="Verdana"/>
          <w:szCs w:val="18"/>
          <w:lang w:eastAsia="en-US"/>
        </w:rPr>
        <w:t>s</w:t>
      </w:r>
      <w:proofErr w:type="spellEnd"/>
      <w:r w:rsidR="005C4884">
        <w:rPr>
          <w:rFonts w:eastAsia="Calibri" w:cs="Verdana"/>
          <w:szCs w:val="18"/>
          <w:lang w:eastAsia="en-US"/>
        </w:rPr>
        <w:t xml:space="preserve"> ontvangen, inclusief VN-organisaties.</w:t>
      </w:r>
      <w:r w:rsidR="00F578E8">
        <w:rPr>
          <w:rFonts w:eastAsia="Calibri" w:cs="Verdana"/>
          <w:szCs w:val="18"/>
          <w:lang w:eastAsia="en-US"/>
        </w:rPr>
        <w:br/>
      </w:r>
    </w:p>
    <w:p w14:paraId="3D10B67B" w14:textId="72F15803" w:rsidR="000A22CF" w:rsidRPr="00AD4A0F" w:rsidRDefault="009256D4" w:rsidP="00AD4A0F">
      <w:pPr>
        <w:autoSpaceDE w:val="0"/>
        <w:autoSpaceDN w:val="0"/>
        <w:adjustRightInd w:val="0"/>
        <w:spacing w:line="240" w:lineRule="auto"/>
        <w:rPr>
          <w:rFonts w:eastAsia="Calibri" w:cs="Verdana"/>
          <w:szCs w:val="18"/>
          <w:lang w:eastAsia="en-US"/>
        </w:rPr>
      </w:pPr>
      <w:r>
        <w:rPr>
          <w:rFonts w:eastAsia="Calibri" w:cs="Verdana"/>
          <w:szCs w:val="18"/>
          <w:lang w:eastAsia="en-US"/>
        </w:rPr>
        <w:t xml:space="preserve">Gezien de risicovolle omgeving waarin OCHA veelal opereert is fraude een voortdurende zorg voor de organisatie, waardoor strikt de hand gehouden wordt aan VN-regelgeving op het gebied van financieel beheer en fraude. Wel werkt dit de nodige bureaucratische vertraging in de hand, waardoor niet altijd snel en flexibel gereageerd kan worden wanneer dit </w:t>
      </w:r>
      <w:r w:rsidR="001626C6">
        <w:rPr>
          <w:rFonts w:eastAsia="Calibri" w:cs="Verdana"/>
          <w:szCs w:val="18"/>
          <w:lang w:eastAsia="en-US"/>
        </w:rPr>
        <w:t>wel</w:t>
      </w:r>
      <w:r>
        <w:rPr>
          <w:rFonts w:eastAsia="Calibri" w:cs="Verdana"/>
          <w:szCs w:val="18"/>
          <w:lang w:eastAsia="en-US"/>
        </w:rPr>
        <w:t xml:space="preserve"> vereist is. </w:t>
      </w:r>
      <w:r w:rsidR="001F61E2">
        <w:rPr>
          <w:rFonts w:eastAsia="Calibri" w:cs="Verdana"/>
          <w:szCs w:val="18"/>
          <w:lang w:eastAsia="en-US"/>
        </w:rPr>
        <w:t>Implementatie van h</w:t>
      </w:r>
      <w:r>
        <w:rPr>
          <w:rFonts w:eastAsia="Calibri" w:cs="Verdana"/>
          <w:szCs w:val="18"/>
          <w:lang w:eastAsia="en-US"/>
        </w:rPr>
        <w:t xml:space="preserve">et nieuwe administratieve systeem van de VN zou hierin verbetering moeten brengen. Ook zijn nog verbeteringen nodig in de mate waarin het begrotingsproces is gekoppeld aan de strategische planning. </w:t>
      </w:r>
      <w:r w:rsidRPr="00981302">
        <w:rPr>
          <w:rFonts w:eastAsia="Calibri" w:cs="Verdana"/>
          <w:szCs w:val="18"/>
          <w:lang w:eastAsia="en-US"/>
        </w:rPr>
        <w:t xml:space="preserve">OCHA heeft een </w:t>
      </w:r>
      <w:proofErr w:type="spellStart"/>
      <w:r w:rsidRPr="00981302">
        <w:rPr>
          <w:rFonts w:eastAsia="Calibri" w:cs="Verdana"/>
          <w:i/>
          <w:iCs/>
          <w:szCs w:val="18"/>
          <w:lang w:eastAsia="en-US"/>
        </w:rPr>
        <w:t>Ethics</w:t>
      </w:r>
      <w:proofErr w:type="spellEnd"/>
      <w:r w:rsidRPr="00981302">
        <w:rPr>
          <w:rFonts w:eastAsia="Calibri" w:cs="Verdana"/>
          <w:i/>
          <w:iCs/>
          <w:szCs w:val="18"/>
          <w:lang w:eastAsia="en-US"/>
        </w:rPr>
        <w:t xml:space="preserve"> Office </w:t>
      </w:r>
      <w:r w:rsidRPr="00981302">
        <w:rPr>
          <w:rFonts w:eastAsia="Calibri" w:cs="Verdana"/>
          <w:szCs w:val="18"/>
          <w:lang w:eastAsia="en-US"/>
        </w:rPr>
        <w:t xml:space="preserve">dat verantwoordelijk is voor </w:t>
      </w:r>
      <w:r w:rsidRPr="00981302">
        <w:rPr>
          <w:rFonts w:eastAsia="Calibri" w:cs="Verdana"/>
          <w:szCs w:val="18"/>
          <w:lang w:eastAsia="en-US"/>
        </w:rPr>
        <w:lastRenderedPageBreak/>
        <w:t>het ethisch beleid binnen OCHA. Dit kantoor biedt tevens bescherming aan eventuele klokkenluiders.</w:t>
      </w:r>
    </w:p>
    <w:p w14:paraId="4E245D40" w14:textId="77777777" w:rsidR="000A22CF" w:rsidRDefault="000A22CF" w:rsidP="000A22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949"/>
      </w:tblGrid>
      <w:tr w:rsidR="002A310E" w:rsidRPr="00EA0AA8" w14:paraId="3D10B67E" w14:textId="77777777" w:rsidTr="00B06CE6">
        <w:tc>
          <w:tcPr>
            <w:tcW w:w="6912" w:type="dxa"/>
            <w:tcBorders>
              <w:top w:val="single" w:sz="12" w:space="0" w:color="auto"/>
              <w:left w:val="single" w:sz="12" w:space="0" w:color="auto"/>
              <w:bottom w:val="single" w:sz="12" w:space="0" w:color="auto"/>
            </w:tcBorders>
            <w:shd w:val="clear" w:color="auto" w:fill="D0CECE"/>
          </w:tcPr>
          <w:p w14:paraId="3D10B67C" w14:textId="77777777" w:rsidR="002A310E" w:rsidRPr="00EA0AA8" w:rsidRDefault="002A310E" w:rsidP="00382AE3">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3D10B67D" w14:textId="77777777" w:rsidR="002A310E" w:rsidRPr="00EA0AA8" w:rsidRDefault="002A310E" w:rsidP="00382AE3">
            <w:pPr>
              <w:rPr>
                <w:b/>
              </w:rPr>
            </w:pPr>
            <w:r w:rsidRPr="00EA0AA8">
              <w:rPr>
                <w:b/>
              </w:rPr>
              <w:t>Score</w:t>
            </w:r>
          </w:p>
        </w:tc>
      </w:tr>
      <w:tr w:rsidR="002A310E" w14:paraId="3D10B681" w14:textId="77777777" w:rsidTr="00382AE3">
        <w:tc>
          <w:tcPr>
            <w:tcW w:w="6912" w:type="dxa"/>
            <w:tcBorders>
              <w:top w:val="single" w:sz="12" w:space="0" w:color="auto"/>
              <w:left w:val="single" w:sz="12" w:space="0" w:color="auto"/>
            </w:tcBorders>
            <w:shd w:val="clear" w:color="auto" w:fill="auto"/>
          </w:tcPr>
          <w:p w14:paraId="3D10B67F" w14:textId="77777777" w:rsidR="002A310E" w:rsidRDefault="000F53BE" w:rsidP="00382AE3">
            <w:r>
              <w:t>Maatregelen rechtmatigheidsrisico’s</w:t>
            </w:r>
          </w:p>
        </w:tc>
        <w:tc>
          <w:tcPr>
            <w:tcW w:w="955" w:type="dxa"/>
            <w:tcBorders>
              <w:top w:val="single" w:sz="12" w:space="0" w:color="auto"/>
              <w:right w:val="single" w:sz="12" w:space="0" w:color="auto"/>
            </w:tcBorders>
            <w:shd w:val="clear" w:color="auto" w:fill="auto"/>
          </w:tcPr>
          <w:p w14:paraId="3D10B680" w14:textId="77777777" w:rsidR="002A310E" w:rsidRDefault="009256D4" w:rsidP="00382AE3">
            <w:r>
              <w:t>3</w:t>
            </w:r>
          </w:p>
        </w:tc>
      </w:tr>
      <w:tr w:rsidR="002A310E" w14:paraId="3D10B684" w14:textId="77777777" w:rsidTr="00382AE3">
        <w:tc>
          <w:tcPr>
            <w:tcW w:w="6912" w:type="dxa"/>
            <w:tcBorders>
              <w:left w:val="single" w:sz="12" w:space="0" w:color="auto"/>
            </w:tcBorders>
            <w:shd w:val="clear" w:color="auto" w:fill="auto"/>
          </w:tcPr>
          <w:p w14:paraId="3D10B682" w14:textId="77777777" w:rsidR="002A310E" w:rsidRDefault="000F53BE" w:rsidP="00382AE3">
            <w:r>
              <w:t>Maatregelen doelmatigheidsrisico’s</w:t>
            </w:r>
          </w:p>
        </w:tc>
        <w:tc>
          <w:tcPr>
            <w:tcW w:w="955" w:type="dxa"/>
            <w:tcBorders>
              <w:right w:val="single" w:sz="12" w:space="0" w:color="auto"/>
            </w:tcBorders>
            <w:shd w:val="clear" w:color="auto" w:fill="auto"/>
          </w:tcPr>
          <w:p w14:paraId="3D10B683" w14:textId="77777777" w:rsidR="002A310E" w:rsidRDefault="009256D4" w:rsidP="00382AE3">
            <w:r>
              <w:t>3</w:t>
            </w:r>
          </w:p>
        </w:tc>
      </w:tr>
      <w:tr w:rsidR="002A310E" w14:paraId="3D10B687" w14:textId="77777777" w:rsidTr="00382AE3">
        <w:tc>
          <w:tcPr>
            <w:tcW w:w="6912" w:type="dxa"/>
            <w:tcBorders>
              <w:left w:val="single" w:sz="12" w:space="0" w:color="auto"/>
            </w:tcBorders>
            <w:shd w:val="clear" w:color="auto" w:fill="auto"/>
          </w:tcPr>
          <w:p w14:paraId="3D10B685" w14:textId="77777777" w:rsidR="002A310E" w:rsidRDefault="000F53BE" w:rsidP="000F53BE">
            <w:r>
              <w:t xml:space="preserve">Anti-corruptiebeleid </w:t>
            </w:r>
          </w:p>
        </w:tc>
        <w:tc>
          <w:tcPr>
            <w:tcW w:w="955" w:type="dxa"/>
            <w:tcBorders>
              <w:right w:val="single" w:sz="12" w:space="0" w:color="auto"/>
            </w:tcBorders>
            <w:shd w:val="clear" w:color="auto" w:fill="auto"/>
          </w:tcPr>
          <w:p w14:paraId="3D10B686" w14:textId="77777777" w:rsidR="002A310E" w:rsidRDefault="009256D4" w:rsidP="00382AE3">
            <w:r>
              <w:t>3</w:t>
            </w:r>
          </w:p>
        </w:tc>
      </w:tr>
      <w:tr w:rsidR="000F53BE" w14:paraId="3D10B68A" w14:textId="77777777" w:rsidTr="00382AE3">
        <w:tc>
          <w:tcPr>
            <w:tcW w:w="6912" w:type="dxa"/>
            <w:tcBorders>
              <w:left w:val="single" w:sz="12" w:space="0" w:color="auto"/>
            </w:tcBorders>
            <w:shd w:val="clear" w:color="auto" w:fill="auto"/>
          </w:tcPr>
          <w:p w14:paraId="3D10B688" w14:textId="77777777" w:rsidR="000F53BE" w:rsidRDefault="000F53BE" w:rsidP="00382AE3">
            <w:r>
              <w:t>Transparantie integriteitsschendingen</w:t>
            </w:r>
          </w:p>
        </w:tc>
        <w:tc>
          <w:tcPr>
            <w:tcW w:w="955" w:type="dxa"/>
            <w:tcBorders>
              <w:right w:val="single" w:sz="12" w:space="0" w:color="auto"/>
            </w:tcBorders>
            <w:shd w:val="clear" w:color="auto" w:fill="auto"/>
          </w:tcPr>
          <w:p w14:paraId="3D10B689" w14:textId="77777777" w:rsidR="000F53BE" w:rsidRDefault="009256D4" w:rsidP="00382AE3">
            <w:r>
              <w:t>3</w:t>
            </w:r>
          </w:p>
        </w:tc>
      </w:tr>
      <w:tr w:rsidR="002A310E" w:rsidRPr="00EA0AA8" w14:paraId="3D10B68D" w14:textId="77777777" w:rsidTr="00B06CE6">
        <w:tc>
          <w:tcPr>
            <w:tcW w:w="6912" w:type="dxa"/>
            <w:tcBorders>
              <w:top w:val="single" w:sz="12" w:space="0" w:color="auto"/>
              <w:left w:val="single" w:sz="12" w:space="0" w:color="auto"/>
              <w:bottom w:val="single" w:sz="12" w:space="0" w:color="auto"/>
            </w:tcBorders>
            <w:shd w:val="clear" w:color="auto" w:fill="D0CECE"/>
          </w:tcPr>
          <w:p w14:paraId="3D10B68B" w14:textId="77777777" w:rsidR="002A310E" w:rsidRPr="00EA0AA8" w:rsidRDefault="002A310E" w:rsidP="00382AE3">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D10B68C" w14:textId="77777777" w:rsidR="002A310E" w:rsidRPr="00EA0AA8" w:rsidRDefault="009256D4" w:rsidP="00382AE3">
            <w:pPr>
              <w:rPr>
                <w:b/>
              </w:rPr>
            </w:pPr>
            <w:r>
              <w:rPr>
                <w:b/>
              </w:rPr>
              <w:t>3</w:t>
            </w:r>
          </w:p>
        </w:tc>
      </w:tr>
    </w:tbl>
    <w:p w14:paraId="2355EE03" w14:textId="77777777" w:rsidR="00633895" w:rsidRDefault="00633895" w:rsidP="00D32F98"/>
    <w:p w14:paraId="3D10B68E" w14:textId="2A6FEFF9" w:rsidR="00D32F98" w:rsidRPr="006A670C" w:rsidRDefault="00D32F98" w:rsidP="00633895">
      <w:pPr>
        <w:ind w:firstLine="227"/>
      </w:pPr>
      <w:r w:rsidRPr="00193994">
        <w:t>Ver</w:t>
      </w:r>
      <w:r>
        <w:t>andering sinds 2015: neutraal</w:t>
      </w:r>
      <w:r w:rsidRPr="00193994">
        <w:t xml:space="preserve"> = </w:t>
      </w:r>
      <w:r w:rsidRPr="00193994">
        <w:sym w:font="Wingdings" w:char="F0E8"/>
      </w:r>
    </w:p>
    <w:p w14:paraId="3D10B68F" w14:textId="77777777" w:rsidR="00E20A86" w:rsidRDefault="00E20A86" w:rsidP="00E20A86"/>
    <w:p w14:paraId="3D10B690" w14:textId="202D25A1" w:rsidR="009534EF" w:rsidRDefault="00633895" w:rsidP="004D372F">
      <w:pPr>
        <w:pStyle w:val="Heading1"/>
        <w:tabs>
          <w:tab w:val="num" w:pos="0"/>
        </w:tabs>
        <w:spacing w:after="240" w:line="240" w:lineRule="auto"/>
        <w:ind w:hanging="1162"/>
      </w:pPr>
      <w:bookmarkStart w:id="39" w:name="_Toc491439712"/>
      <w:r>
        <w:lastRenderedPageBreak/>
        <w:t>5</w:t>
      </w:r>
      <w:r w:rsidR="004D372F">
        <w:t xml:space="preserve"> </w:t>
      </w:r>
      <w:r w:rsidR="004D372F">
        <w:tab/>
      </w:r>
      <w:bookmarkStart w:id="40" w:name="_Toc348364679"/>
      <w:r w:rsidR="008409AE">
        <w:t>R</w:t>
      </w:r>
      <w:r w:rsidR="009534EF">
        <w:t>elevantie van de organisatie</w:t>
      </w:r>
      <w:bookmarkEnd w:id="40"/>
      <w:bookmarkEnd w:id="39"/>
    </w:p>
    <w:p w14:paraId="7F094470" w14:textId="2BE673E3" w:rsidR="00BD5BAC" w:rsidRDefault="00BD5BAC" w:rsidP="00BD5BAC">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42F89019" w14:textId="77777777" w:rsidR="00AD4A0F" w:rsidRPr="00BD5BAC" w:rsidRDefault="00AD4A0F" w:rsidP="00BD5BAC"/>
    <w:p w14:paraId="3D10B691" w14:textId="587DF12C" w:rsidR="0027051F" w:rsidRPr="004D372F" w:rsidRDefault="00633895" w:rsidP="0008255C">
      <w:pPr>
        <w:pStyle w:val="Heading2"/>
        <w:tabs>
          <w:tab w:val="left" w:pos="-1162"/>
          <w:tab w:val="left" w:pos="0"/>
        </w:tabs>
        <w:spacing w:line="240" w:lineRule="auto"/>
        <w:ind w:hanging="1134"/>
      </w:pPr>
      <w:bookmarkStart w:id="41" w:name="_Toc491439713"/>
      <w:r>
        <w:t>5</w:t>
      </w:r>
      <w:r w:rsidR="0027051F">
        <w:t xml:space="preserve">.1 </w:t>
      </w:r>
      <w:r w:rsidR="0008255C">
        <w:tab/>
      </w:r>
      <w:r w:rsidR="0027051F">
        <w:t>Relevantie voor Nederlandse BHOS-prioriteiten</w:t>
      </w:r>
      <w:bookmarkEnd w:id="41"/>
    </w:p>
    <w:p w14:paraId="31C29BD7" w14:textId="0AC07107" w:rsidR="00145A7D" w:rsidRPr="00145A7D" w:rsidRDefault="00145A7D" w:rsidP="00145A7D">
      <w:pPr>
        <w:rPr>
          <w:u w:val="single"/>
        </w:rPr>
      </w:pPr>
      <w:r w:rsidRPr="00145A7D">
        <w:rPr>
          <w:u w:val="single"/>
        </w:rPr>
        <w:t>Gendergelijkheid</w:t>
      </w:r>
    </w:p>
    <w:p w14:paraId="11E15290" w14:textId="55370FDA" w:rsidR="00145A7D" w:rsidRPr="00145A7D" w:rsidRDefault="00145A7D" w:rsidP="00145A7D">
      <w:pPr>
        <w:rPr>
          <w:i/>
        </w:rPr>
      </w:pPr>
      <w:r w:rsidRPr="00145A7D">
        <w:rPr>
          <w:i/>
        </w:rPr>
        <w:t>Relevant.</w:t>
      </w:r>
      <w:r>
        <w:rPr>
          <w:i/>
        </w:rPr>
        <w:t xml:space="preserve"> </w:t>
      </w:r>
      <w:r w:rsidRPr="00765242">
        <w:rPr>
          <w:rFonts w:cs="Verdana"/>
          <w:szCs w:val="18"/>
        </w:rPr>
        <w:t xml:space="preserve">OCHA heeft specifieke beleidsinstructies en een actieplan waarin duidelijke verantwoordelijkheden worden vastgesteld ten aanzien van gendergelijkheid. Het beleid is gericht </w:t>
      </w:r>
      <w:r w:rsidRPr="00765242">
        <w:rPr>
          <w:rFonts w:cs="Verdana"/>
          <w:szCs w:val="18"/>
          <w:lang w:eastAsia="ja-JP"/>
        </w:rPr>
        <w:t>op</w:t>
      </w:r>
      <w:r w:rsidRPr="00765242">
        <w:rPr>
          <w:rFonts w:cs="Verdana"/>
          <w:szCs w:val="18"/>
        </w:rPr>
        <w:t xml:space="preserve"> betere informatievoorziening over genderaspecten bij humanitaire hulp, goede coördinatie (in het bijzonder m.b.t. bescherming van en hulp aan vrouwen), en pleitbezorging voor de rechten van vrouwen.</w:t>
      </w:r>
      <w:r w:rsidRPr="00765242">
        <w:rPr>
          <w:rFonts w:cs="Verdana" w:hint="eastAsia"/>
          <w:szCs w:val="18"/>
          <w:lang w:eastAsia="ja-JP"/>
        </w:rPr>
        <w:t xml:space="preserve"> </w:t>
      </w:r>
      <w:r w:rsidRPr="00765242">
        <w:rPr>
          <w:rFonts w:cs="Verdana"/>
          <w:szCs w:val="18"/>
        </w:rPr>
        <w:t>Daarnaast voert OCHA actief beleid op bescherming</w:t>
      </w:r>
      <w:r w:rsidR="005370D9">
        <w:rPr>
          <w:rFonts w:cs="Verdana"/>
          <w:szCs w:val="18"/>
        </w:rPr>
        <w:t xml:space="preserve"> tegen seksueel- en gender gerelateerd geweld</w:t>
      </w:r>
      <w:r w:rsidRPr="00765242">
        <w:rPr>
          <w:rFonts w:cs="Verdana"/>
          <w:szCs w:val="18"/>
        </w:rPr>
        <w:t>.</w:t>
      </w:r>
    </w:p>
    <w:p w14:paraId="0C290E6C" w14:textId="77777777" w:rsidR="00145A7D" w:rsidRPr="00C82739" w:rsidRDefault="00145A7D" w:rsidP="00145A7D">
      <w:pPr>
        <w:autoSpaceDE w:val="0"/>
        <w:autoSpaceDN w:val="0"/>
        <w:adjustRightInd w:val="0"/>
        <w:spacing w:line="240" w:lineRule="auto"/>
        <w:rPr>
          <w:rFonts w:cs="Verdana"/>
          <w:szCs w:val="18"/>
        </w:rPr>
      </w:pPr>
    </w:p>
    <w:p w14:paraId="1E1AE9E0" w14:textId="77777777" w:rsidR="00145A7D" w:rsidRDefault="00145A7D" w:rsidP="00145A7D">
      <w:r w:rsidRPr="00685E75">
        <w:t xml:space="preserve">OCHA </w:t>
      </w:r>
      <w:r>
        <w:t xml:space="preserve">speelde een </w:t>
      </w:r>
      <w:r w:rsidRPr="00685E75">
        <w:t xml:space="preserve">belangrijke rol bij </w:t>
      </w:r>
      <w:r>
        <w:t xml:space="preserve">de </w:t>
      </w:r>
      <w:r w:rsidRPr="00685E75">
        <w:t xml:space="preserve">totstandkoming en naleving van de IASC </w:t>
      </w:r>
      <w:r w:rsidRPr="00685E75">
        <w:rPr>
          <w:i/>
        </w:rPr>
        <w:t xml:space="preserve">gender </w:t>
      </w:r>
      <w:proofErr w:type="spellStart"/>
      <w:r w:rsidRPr="00685E75">
        <w:rPr>
          <w:i/>
        </w:rPr>
        <w:t>equality</w:t>
      </w:r>
      <w:proofErr w:type="spellEnd"/>
      <w:r w:rsidRPr="00685E75">
        <w:rPr>
          <w:i/>
        </w:rPr>
        <w:t xml:space="preserve"> marker</w:t>
      </w:r>
      <w:r w:rsidRPr="00685E75">
        <w:t>, die voor alle VN organisaties die aan appeal meewerken verplicht is. Inmiddels is de</w:t>
      </w:r>
      <w:r>
        <w:t>ze</w:t>
      </w:r>
      <w:r w:rsidRPr="00685E75">
        <w:t xml:space="preserve"> marker uitgebreid tot</w:t>
      </w:r>
      <w:r>
        <w:t xml:space="preserve"> een</w:t>
      </w:r>
      <w:r w:rsidRPr="00685E75">
        <w:t xml:space="preserve"> </w:t>
      </w:r>
      <w:r w:rsidRPr="00685E75">
        <w:rPr>
          <w:i/>
        </w:rPr>
        <w:t xml:space="preserve">gender &amp; </w:t>
      </w:r>
      <w:proofErr w:type="spellStart"/>
      <w:r w:rsidRPr="00685E75">
        <w:rPr>
          <w:i/>
        </w:rPr>
        <w:t>age</w:t>
      </w:r>
      <w:proofErr w:type="spellEnd"/>
      <w:r w:rsidRPr="00685E75">
        <w:rPr>
          <w:i/>
        </w:rPr>
        <w:t xml:space="preserve"> marker</w:t>
      </w:r>
      <w:r w:rsidRPr="00685E75">
        <w:t xml:space="preserve">. </w:t>
      </w:r>
      <w:r w:rsidRPr="00C82739">
        <w:t xml:space="preserve">OCHA </w:t>
      </w:r>
      <w:r>
        <w:t xml:space="preserve">maakt in al zijn activiteiten gebruik van deze marker en </w:t>
      </w:r>
      <w:r w:rsidRPr="00C82739">
        <w:t xml:space="preserve">werkt samen met </w:t>
      </w:r>
      <w:r>
        <w:t>d</w:t>
      </w:r>
      <w:r w:rsidRPr="00C82739">
        <w:t xml:space="preserve">e leden van de </w:t>
      </w:r>
      <w:r w:rsidRPr="000C1B5D">
        <w:t>IASC</w:t>
      </w:r>
      <w:r w:rsidRPr="00C82739">
        <w:t xml:space="preserve"> om gendergelijkheid te</w:t>
      </w:r>
      <w:r>
        <w:t xml:space="preserve"> bevorderen</w:t>
      </w:r>
      <w:r w:rsidRPr="00C82739">
        <w:t xml:space="preserve"> in de </w:t>
      </w:r>
      <w:r>
        <w:t>humanitaire programmeringscyclus</w:t>
      </w:r>
      <w:r w:rsidRPr="00C82739">
        <w:t xml:space="preserve">. </w:t>
      </w:r>
      <w:r>
        <w:t>Ook</w:t>
      </w:r>
      <w:r w:rsidRPr="00C82739">
        <w:t xml:space="preserve"> </w:t>
      </w:r>
      <w:r>
        <w:rPr>
          <w:rFonts w:hint="eastAsia"/>
          <w:lang w:eastAsia="ja-JP"/>
        </w:rPr>
        <w:t>voert</w:t>
      </w:r>
      <w:r w:rsidRPr="00C82739">
        <w:t xml:space="preserve"> OCHA </w:t>
      </w:r>
      <w:r>
        <w:rPr>
          <w:rFonts w:hint="eastAsia"/>
          <w:lang w:eastAsia="ja-JP"/>
        </w:rPr>
        <w:t xml:space="preserve">het </w:t>
      </w:r>
      <w:r w:rsidRPr="00C82739">
        <w:rPr>
          <w:i/>
        </w:rPr>
        <w:t xml:space="preserve">Gender </w:t>
      </w:r>
      <w:proofErr w:type="spellStart"/>
      <w:r w:rsidRPr="00C82739">
        <w:rPr>
          <w:i/>
        </w:rPr>
        <w:t>Capacity</w:t>
      </w:r>
      <w:proofErr w:type="spellEnd"/>
      <w:r w:rsidRPr="00C82739">
        <w:rPr>
          <w:i/>
        </w:rPr>
        <w:t xml:space="preserve"> Project</w:t>
      </w:r>
      <w:r w:rsidRPr="00C82739">
        <w:t xml:space="preserve">  </w:t>
      </w:r>
      <w:r>
        <w:rPr>
          <w:rFonts w:hint="eastAsia"/>
          <w:lang w:eastAsia="ja-JP"/>
        </w:rPr>
        <w:t>uit</w:t>
      </w:r>
      <w:r>
        <w:rPr>
          <w:lang w:eastAsia="ja-JP"/>
        </w:rPr>
        <w:t xml:space="preserve"> ten behoeve van de humanitaire sector, dat genderadviseurs toewijst aan VN-landenteams</w:t>
      </w:r>
      <w:r>
        <w:t xml:space="preserve">. </w:t>
      </w:r>
      <w:r>
        <w:rPr>
          <w:szCs w:val="18"/>
        </w:rPr>
        <w:br/>
      </w:r>
    </w:p>
    <w:p w14:paraId="636BFD82" w14:textId="77777777" w:rsidR="00975BFB" w:rsidRDefault="00975BFB" w:rsidP="00975BFB">
      <w:pPr>
        <w:rPr>
          <w:u w:val="single"/>
        </w:rPr>
      </w:pPr>
      <w:r w:rsidRPr="00145A7D">
        <w:rPr>
          <w:u w:val="single"/>
        </w:rPr>
        <w:t>Humanitaire hulp</w:t>
      </w:r>
    </w:p>
    <w:p w14:paraId="40E93D17" w14:textId="77777777" w:rsidR="00975BFB" w:rsidRPr="00145A7D" w:rsidRDefault="00975BFB" w:rsidP="00975BFB">
      <w:pPr>
        <w:rPr>
          <w:i/>
        </w:rPr>
      </w:pPr>
      <w:r w:rsidRPr="00145A7D">
        <w:rPr>
          <w:i/>
        </w:rPr>
        <w:t>Relevant.</w:t>
      </w:r>
      <w:r>
        <w:rPr>
          <w:i/>
        </w:rPr>
        <w:t xml:space="preserve"> </w:t>
      </w:r>
      <w:r w:rsidRPr="00C82739">
        <w:t xml:space="preserve">OCHA </w:t>
      </w:r>
      <w:r>
        <w:t>is opgericht ten behoeve van de coördinatie van humanitaire hulp wereldwijd, en is daarmee</w:t>
      </w:r>
      <w:r w:rsidRPr="005706FB">
        <w:t xml:space="preserve"> relevant voor het Nederlandse humanitaire hulpbeleid zoals verwoord in het beleidskader “Hulp aan mensen in nood” en de Kamerbrief over het </w:t>
      </w:r>
      <w:proofErr w:type="spellStart"/>
      <w:r w:rsidRPr="005A0187">
        <w:rPr>
          <w:i/>
        </w:rPr>
        <w:t>Relief</w:t>
      </w:r>
      <w:proofErr w:type="spellEnd"/>
      <w:r w:rsidRPr="005A0187">
        <w:rPr>
          <w:i/>
        </w:rPr>
        <w:t xml:space="preserve"> Fund</w:t>
      </w:r>
      <w:r w:rsidRPr="005706FB">
        <w:t xml:space="preserve">. </w:t>
      </w:r>
      <w:r>
        <w:t xml:space="preserve">OCHA speelt daarnaast een belangrijke aanjagende en monitorende rol ten aanzien van de toezeggingen die organisaties en landen hebben gedaan tijdens de </w:t>
      </w:r>
      <w:r w:rsidRPr="005A0187">
        <w:rPr>
          <w:i/>
        </w:rPr>
        <w:t xml:space="preserve">World </w:t>
      </w:r>
      <w:proofErr w:type="spellStart"/>
      <w:r w:rsidRPr="005A0187">
        <w:rPr>
          <w:i/>
        </w:rPr>
        <w:t>Humanitarian</w:t>
      </w:r>
      <w:proofErr w:type="spellEnd"/>
      <w:r w:rsidRPr="005A0187">
        <w:rPr>
          <w:i/>
        </w:rPr>
        <w:t xml:space="preserve"> </w:t>
      </w:r>
      <w:proofErr w:type="spellStart"/>
      <w:r w:rsidRPr="005A0187">
        <w:rPr>
          <w:i/>
        </w:rPr>
        <w:t>Summit</w:t>
      </w:r>
      <w:proofErr w:type="spellEnd"/>
      <w:r>
        <w:t xml:space="preserve">, waaronder de toezegging betreffende de versterking van de samenhang tussen humanitaire hulp en ontwikkelingssamenwerking. </w:t>
      </w:r>
    </w:p>
    <w:p w14:paraId="49EBBB34" w14:textId="77777777" w:rsidR="00975BFB" w:rsidRDefault="00975BFB" w:rsidP="00145A7D">
      <w:pPr>
        <w:rPr>
          <w:i/>
          <w:u w:val="single"/>
        </w:rPr>
      </w:pPr>
    </w:p>
    <w:p w14:paraId="75579B36" w14:textId="77777777" w:rsidR="00975BFB" w:rsidRPr="00633895" w:rsidRDefault="00975BFB" w:rsidP="00975BFB">
      <w:pPr>
        <w:rPr>
          <w:u w:val="single"/>
        </w:rPr>
      </w:pPr>
      <w:r w:rsidRPr="00633895">
        <w:rPr>
          <w:u w:val="single"/>
        </w:rPr>
        <w:t>Seksuele en Reproductieve Gezondheid en Rechten (SRGR), in</w:t>
      </w:r>
      <w:r>
        <w:rPr>
          <w:u w:val="single"/>
        </w:rPr>
        <w:t>cl.</w:t>
      </w:r>
      <w:r w:rsidRPr="00633895">
        <w:rPr>
          <w:u w:val="single"/>
        </w:rPr>
        <w:t xml:space="preserve"> HIV/Aids</w:t>
      </w:r>
    </w:p>
    <w:p w14:paraId="254E1EA2" w14:textId="7B44A05D" w:rsidR="00975BFB" w:rsidRDefault="00975BFB" w:rsidP="00975BFB">
      <w:r>
        <w:rPr>
          <w:i/>
          <w:lang w:eastAsia="ja-JP"/>
        </w:rPr>
        <w:t>R</w:t>
      </w:r>
      <w:r w:rsidRPr="00633895">
        <w:rPr>
          <w:i/>
        </w:rPr>
        <w:t>elevant</w:t>
      </w:r>
      <w:r>
        <w:t xml:space="preserve">. </w:t>
      </w:r>
      <w:r w:rsidRPr="00D73055">
        <w:t>OCHA</w:t>
      </w:r>
      <w:r>
        <w:t xml:space="preserve"> pleegt ook op dit thema geen directe interventies, maar speelt</w:t>
      </w:r>
      <w:r w:rsidRPr="00C67D5F">
        <w:t xml:space="preserve"> als coördinerende instantie in humanitaire noodsituaties</w:t>
      </w:r>
      <w:r>
        <w:t xml:space="preserve"> wel</w:t>
      </w:r>
      <w:r w:rsidRPr="00C67D5F">
        <w:t xml:space="preserve"> </w:t>
      </w:r>
      <w:r>
        <w:t>een belangrijke rol bij het zorgdragen voor voldoende aandacht bij humanitaire actoren</w:t>
      </w:r>
      <w:r w:rsidRPr="003D09E1">
        <w:t>. Gezien het feit dat maar 4% van het CERF budget in 2016 naar SRGR programma’s is gegaan ligt er een taak voor OCHA om te zorgen dat seksuele en reproductieve gezondheid integraal opgenomen word</w:t>
      </w:r>
      <w:r>
        <w:t>t in humanitaire interventies.</w:t>
      </w:r>
    </w:p>
    <w:p w14:paraId="12C906D9" w14:textId="77777777" w:rsidR="00975BFB" w:rsidRDefault="00975BFB" w:rsidP="00975BFB">
      <w:pPr>
        <w:rPr>
          <w:i/>
          <w:u w:val="single"/>
        </w:rPr>
      </w:pPr>
    </w:p>
    <w:p w14:paraId="098B0966" w14:textId="1788438A" w:rsidR="00145A7D" w:rsidRDefault="00145A7D" w:rsidP="00145A7D">
      <w:pPr>
        <w:rPr>
          <w:i/>
          <w:u w:val="single"/>
        </w:rPr>
      </w:pPr>
      <w:r w:rsidRPr="00145A7D">
        <w:rPr>
          <w:i/>
          <w:u w:val="single"/>
        </w:rPr>
        <w:t xml:space="preserve">Private </w:t>
      </w:r>
      <w:r w:rsidR="00313554">
        <w:rPr>
          <w:i/>
          <w:u w:val="single"/>
        </w:rPr>
        <w:t>s</w:t>
      </w:r>
      <w:r w:rsidRPr="00145A7D">
        <w:rPr>
          <w:i/>
          <w:u w:val="single"/>
        </w:rPr>
        <w:t xml:space="preserve">ector </w:t>
      </w:r>
      <w:r w:rsidR="00313554">
        <w:rPr>
          <w:i/>
          <w:u w:val="single"/>
        </w:rPr>
        <w:t>ontwikkeling</w:t>
      </w:r>
    </w:p>
    <w:p w14:paraId="35F44B6C" w14:textId="2B8FEB4C" w:rsidR="00145A7D" w:rsidRPr="00145A7D" w:rsidRDefault="003D09E1" w:rsidP="00145A7D">
      <w:pPr>
        <w:rPr>
          <w:i/>
        </w:rPr>
      </w:pPr>
      <w:r>
        <w:rPr>
          <w:i/>
        </w:rPr>
        <w:t>Beperkt r</w:t>
      </w:r>
      <w:r w:rsidR="00145A7D" w:rsidRPr="00145A7D">
        <w:rPr>
          <w:i/>
        </w:rPr>
        <w:t>elevant.</w:t>
      </w:r>
      <w:r w:rsidR="00145A7D">
        <w:rPr>
          <w:i/>
        </w:rPr>
        <w:t xml:space="preserve"> </w:t>
      </w:r>
      <w:r w:rsidR="00145A7D">
        <w:t xml:space="preserve">De private sector speelt samen met overheden en maatschappelijk middenveld een belangrijke rol in paraatheid en het verbeteren van de humanitaire respons. Bedrijven vormen een essentieel onderdeel van de getroffen gemeenschap en hebben daarmee eigen belangen. Bovendien hebben ze kennis, expertise en </w:t>
      </w:r>
      <w:r w:rsidR="00145A7D">
        <w:lastRenderedPageBreak/>
        <w:t xml:space="preserve">toegang tot de bevolking die van belang is bij de humanitaire respons. Binnen het bredere VN-beleid over publieke-private partnerschappen (PPP) heeft OCHA samen met het </w:t>
      </w:r>
      <w:r w:rsidR="00145A7D" w:rsidRPr="005A0187">
        <w:rPr>
          <w:i/>
        </w:rPr>
        <w:t xml:space="preserve">World </w:t>
      </w:r>
      <w:proofErr w:type="spellStart"/>
      <w:r w:rsidR="00145A7D" w:rsidRPr="005A0187">
        <w:rPr>
          <w:i/>
        </w:rPr>
        <w:t>Economic</w:t>
      </w:r>
      <w:proofErr w:type="spellEnd"/>
      <w:r w:rsidR="00145A7D" w:rsidRPr="005A0187">
        <w:rPr>
          <w:i/>
        </w:rPr>
        <w:t xml:space="preserve"> Forum</w:t>
      </w:r>
      <w:r w:rsidR="00145A7D">
        <w:t xml:space="preserve"> richtlijnen ontwikkeld, specifiek voor de humanitaire sector (zgn. </w:t>
      </w:r>
      <w:proofErr w:type="spellStart"/>
      <w:r w:rsidR="00145A7D" w:rsidRPr="00765242">
        <w:rPr>
          <w:i/>
          <w:iCs/>
        </w:rPr>
        <w:t>Guiding</w:t>
      </w:r>
      <w:proofErr w:type="spellEnd"/>
      <w:r w:rsidR="00145A7D" w:rsidRPr="00765242">
        <w:rPr>
          <w:i/>
          <w:iCs/>
        </w:rPr>
        <w:t xml:space="preserve"> </w:t>
      </w:r>
      <w:proofErr w:type="spellStart"/>
      <w:r w:rsidR="00145A7D" w:rsidRPr="00765242">
        <w:rPr>
          <w:i/>
          <w:iCs/>
        </w:rPr>
        <w:t>Principles</w:t>
      </w:r>
      <w:proofErr w:type="spellEnd"/>
      <w:r w:rsidR="00145A7D" w:rsidRPr="00765242">
        <w:rPr>
          <w:i/>
          <w:iCs/>
        </w:rPr>
        <w:t xml:space="preserve"> </w:t>
      </w:r>
      <w:proofErr w:type="spellStart"/>
      <w:r w:rsidR="00145A7D" w:rsidRPr="00765242">
        <w:rPr>
          <w:i/>
          <w:iCs/>
        </w:rPr>
        <w:t>for</w:t>
      </w:r>
      <w:proofErr w:type="spellEnd"/>
      <w:r w:rsidR="00145A7D" w:rsidRPr="00765242">
        <w:rPr>
          <w:i/>
          <w:iCs/>
        </w:rPr>
        <w:t xml:space="preserve"> Public-Private </w:t>
      </w:r>
      <w:proofErr w:type="spellStart"/>
      <w:r w:rsidR="00145A7D" w:rsidRPr="00765242">
        <w:rPr>
          <w:i/>
          <w:iCs/>
        </w:rPr>
        <w:t>Collaboration</w:t>
      </w:r>
      <w:proofErr w:type="spellEnd"/>
      <w:r w:rsidR="00145A7D" w:rsidRPr="00765242">
        <w:rPr>
          <w:i/>
          <w:iCs/>
        </w:rPr>
        <w:t xml:space="preserve"> </w:t>
      </w:r>
      <w:proofErr w:type="spellStart"/>
      <w:r w:rsidR="00145A7D" w:rsidRPr="00765242">
        <w:rPr>
          <w:i/>
          <w:iCs/>
        </w:rPr>
        <w:t>for</w:t>
      </w:r>
      <w:proofErr w:type="spellEnd"/>
      <w:r w:rsidR="00145A7D" w:rsidRPr="00765242">
        <w:rPr>
          <w:i/>
          <w:iCs/>
        </w:rPr>
        <w:t xml:space="preserve"> </w:t>
      </w:r>
      <w:proofErr w:type="spellStart"/>
      <w:r w:rsidR="00145A7D" w:rsidRPr="00765242">
        <w:rPr>
          <w:i/>
          <w:iCs/>
        </w:rPr>
        <w:t>Humanitarian</w:t>
      </w:r>
      <w:proofErr w:type="spellEnd"/>
      <w:r w:rsidR="00145A7D" w:rsidRPr="00765242">
        <w:rPr>
          <w:i/>
          <w:iCs/>
        </w:rPr>
        <w:t xml:space="preserve"> Action</w:t>
      </w:r>
      <w:r w:rsidR="00145A7D">
        <w:t xml:space="preserve">). Deze principes zien toe op samenwerking op basis van de humanitaire standaarden, coördinatie met traditionele humanitaire actoren, respect voor de getroffen gemeenschappen en het principe dat geen winst mag worden doorberekend aan de getroffen bevolking. Als </w:t>
      </w:r>
      <w:r w:rsidR="00145A7D" w:rsidRPr="00765242">
        <w:rPr>
          <w:i/>
          <w:iCs/>
        </w:rPr>
        <w:t>broker</w:t>
      </w:r>
      <w:r w:rsidR="00145A7D">
        <w:t xml:space="preserve"> in het humanitaire systeem heeft OCHA een speciale rol in het bij elkaar brengen van de publieke sector (specifiek humanitaire VN-organisaties) en de private sector. OCHA heeft met meerdere grote bedrijven (DHL, Deloitte, Ericsson) publiek-private partnerschappen opgezet. </w:t>
      </w:r>
    </w:p>
    <w:p w14:paraId="77FE3F01" w14:textId="77777777" w:rsidR="00145A7D" w:rsidRDefault="00145A7D" w:rsidP="00145A7D">
      <w:pPr>
        <w:rPr>
          <w:i/>
        </w:rPr>
      </w:pPr>
    </w:p>
    <w:p w14:paraId="6FC40238" w14:textId="77777777" w:rsidR="00145A7D" w:rsidRDefault="00145A7D" w:rsidP="00145A7D">
      <w:r>
        <w:rPr>
          <w:rFonts w:cs="Verdana"/>
          <w:szCs w:val="18"/>
        </w:rPr>
        <w:t xml:space="preserve">Binnen de ontwikkeling van het </w:t>
      </w:r>
      <w:r>
        <w:rPr>
          <w:rFonts w:cs="Verdana"/>
          <w:i/>
          <w:szCs w:val="18"/>
        </w:rPr>
        <w:t xml:space="preserve">Centre </w:t>
      </w:r>
      <w:proofErr w:type="spellStart"/>
      <w:r>
        <w:rPr>
          <w:rFonts w:cs="Verdana"/>
          <w:i/>
          <w:szCs w:val="18"/>
        </w:rPr>
        <w:t>for</w:t>
      </w:r>
      <w:proofErr w:type="spellEnd"/>
      <w:r>
        <w:rPr>
          <w:rFonts w:cs="Verdana"/>
          <w:i/>
          <w:szCs w:val="18"/>
        </w:rPr>
        <w:t xml:space="preserve"> </w:t>
      </w:r>
      <w:proofErr w:type="spellStart"/>
      <w:r>
        <w:rPr>
          <w:rFonts w:cs="Verdana"/>
          <w:i/>
          <w:szCs w:val="18"/>
        </w:rPr>
        <w:t>Humanitarian</w:t>
      </w:r>
      <w:proofErr w:type="spellEnd"/>
      <w:r>
        <w:rPr>
          <w:rFonts w:cs="Verdana"/>
          <w:i/>
          <w:szCs w:val="18"/>
        </w:rPr>
        <w:t xml:space="preserve"> Data</w:t>
      </w:r>
      <w:r>
        <w:rPr>
          <w:rFonts w:cs="Verdana"/>
          <w:szCs w:val="18"/>
        </w:rPr>
        <w:t xml:space="preserve"> gaat OCHA diverse relaties aan </w:t>
      </w:r>
      <w:r w:rsidRPr="00A33D53">
        <w:rPr>
          <w:rFonts w:cs="Verdana"/>
          <w:szCs w:val="18"/>
        </w:rPr>
        <w:t>met publieke en private organisaties</w:t>
      </w:r>
      <w:r>
        <w:rPr>
          <w:rFonts w:cs="Verdana"/>
          <w:szCs w:val="18"/>
        </w:rPr>
        <w:t xml:space="preserve"> o.a. </w:t>
      </w:r>
      <w:r w:rsidRPr="00CD276A">
        <w:rPr>
          <w:rFonts w:cs="Verdana"/>
          <w:szCs w:val="18"/>
        </w:rPr>
        <w:t>Google</w:t>
      </w:r>
      <w:r>
        <w:rPr>
          <w:rFonts w:cs="Verdana"/>
          <w:szCs w:val="18"/>
        </w:rPr>
        <w:t>,</w:t>
      </w:r>
      <w:r w:rsidRPr="00CD276A">
        <w:rPr>
          <w:rFonts w:cs="Verdana"/>
          <w:szCs w:val="18"/>
        </w:rPr>
        <w:t xml:space="preserve"> Harvard, MIT, USAID, IOM, UNHCR, WFP en het WEF</w:t>
      </w:r>
      <w:r>
        <w:rPr>
          <w:rFonts w:cs="Verdana"/>
          <w:szCs w:val="18"/>
        </w:rPr>
        <w:t>. Zo</w:t>
      </w:r>
      <w:r w:rsidRPr="00CD276A">
        <w:rPr>
          <w:rFonts w:cs="Verdana"/>
          <w:szCs w:val="18"/>
        </w:rPr>
        <w:t xml:space="preserve"> kan het centrum al voor de oprichting rekenen op brede betrokkenheid en steun.</w:t>
      </w:r>
    </w:p>
    <w:p w14:paraId="4D961E19" w14:textId="77777777" w:rsidR="00145A7D" w:rsidRDefault="00145A7D" w:rsidP="00145A7D"/>
    <w:p w14:paraId="17BB71E7" w14:textId="42D2958C" w:rsidR="00633895" w:rsidRDefault="008B720C" w:rsidP="00633895">
      <w:pPr>
        <w:rPr>
          <w:u w:val="single"/>
        </w:rPr>
      </w:pPr>
      <w:r w:rsidRPr="00633895">
        <w:rPr>
          <w:u w:val="single"/>
        </w:rPr>
        <w:t>Voedselzekerheid</w:t>
      </w:r>
    </w:p>
    <w:p w14:paraId="3D10B695" w14:textId="36D8A4EE" w:rsidR="00C1667D" w:rsidRPr="00633895" w:rsidRDefault="00633895" w:rsidP="00765242">
      <w:pPr>
        <w:rPr>
          <w:rFonts w:cs="Verdana"/>
          <w:i/>
          <w:szCs w:val="18"/>
        </w:rPr>
      </w:pPr>
      <w:r w:rsidRPr="00633895">
        <w:rPr>
          <w:i/>
        </w:rPr>
        <w:t>B</w:t>
      </w:r>
      <w:r w:rsidR="00C1667D" w:rsidRPr="00633895">
        <w:rPr>
          <w:i/>
        </w:rPr>
        <w:t>eperkt relevant</w:t>
      </w:r>
      <w:r w:rsidR="00765242" w:rsidRPr="00633895">
        <w:rPr>
          <w:i/>
        </w:rPr>
        <w:t>.</w:t>
      </w:r>
      <w:r>
        <w:rPr>
          <w:rFonts w:cs="Verdana"/>
          <w:i/>
          <w:szCs w:val="18"/>
        </w:rPr>
        <w:t xml:space="preserve"> </w:t>
      </w:r>
      <w:r w:rsidR="00C1667D">
        <w:t xml:space="preserve">In de coördinatie van humanitaire hulp is voedselzekerheid uiteraard een belangrijk element, zowel in de directe verlichting van noden als bij activiteiten gericht op het verminderen van risico’s en bij de </w:t>
      </w:r>
      <w:r w:rsidR="00C1667D" w:rsidRPr="00765242">
        <w:rPr>
          <w:rFonts w:cs="Verdana"/>
          <w:szCs w:val="18"/>
        </w:rPr>
        <w:t>overgang naar wederopbouw en structurele ontwikkeling. OCHA speelt een proactieve rol in de versterking van de samenhang tussen humanitaire en ontwikkelingsactiviteiten, mede op het terrein van structurele voedselzekerheid.</w:t>
      </w:r>
    </w:p>
    <w:p w14:paraId="3D10B696" w14:textId="77777777" w:rsidR="00C1667D" w:rsidRDefault="00C1667D" w:rsidP="00C1667D">
      <w:r>
        <w:t xml:space="preserve"> </w:t>
      </w:r>
    </w:p>
    <w:p w14:paraId="168A649F" w14:textId="77777777" w:rsidR="00633895" w:rsidRDefault="008B720C" w:rsidP="00633895">
      <w:r w:rsidRPr="00633895">
        <w:rPr>
          <w:u w:val="single"/>
        </w:rPr>
        <w:t>Water</w:t>
      </w:r>
      <w:r w:rsidR="00765242">
        <w:t xml:space="preserve"> </w:t>
      </w:r>
    </w:p>
    <w:p w14:paraId="3D10B698" w14:textId="0C2D0F7E" w:rsidR="00C1667D" w:rsidRPr="00633895" w:rsidRDefault="00633895" w:rsidP="00765242">
      <w:pPr>
        <w:rPr>
          <w:i/>
        </w:rPr>
      </w:pPr>
      <w:r w:rsidRPr="00633895">
        <w:rPr>
          <w:i/>
        </w:rPr>
        <w:t>B</w:t>
      </w:r>
      <w:r w:rsidR="00C1667D" w:rsidRPr="00633895">
        <w:rPr>
          <w:i/>
        </w:rPr>
        <w:t>eperkt relevant.</w:t>
      </w:r>
      <w:r>
        <w:rPr>
          <w:i/>
        </w:rPr>
        <w:t xml:space="preserve"> </w:t>
      </w:r>
      <w:r w:rsidR="00C1667D" w:rsidRPr="00765242">
        <w:rPr>
          <w:rFonts w:cs="Verdana"/>
          <w:szCs w:val="18"/>
        </w:rPr>
        <w:t xml:space="preserve">OCHA </w:t>
      </w:r>
      <w:r w:rsidR="00BB06B0" w:rsidRPr="00765242">
        <w:rPr>
          <w:rFonts w:cs="Verdana"/>
          <w:szCs w:val="18"/>
        </w:rPr>
        <w:t>zet zich in voor versterkte</w:t>
      </w:r>
      <w:r w:rsidR="00C1667D" w:rsidRPr="00765242">
        <w:rPr>
          <w:rFonts w:cs="Verdana"/>
          <w:szCs w:val="18"/>
        </w:rPr>
        <w:t xml:space="preserve"> samenwerking tussen humanitaire en OS-actoren gericht op structurele voorzieningen voor water en watermanagement.</w:t>
      </w:r>
      <w:r w:rsidR="00C1667D" w:rsidRPr="00765242">
        <w:rPr>
          <w:rFonts w:cs="Verdana"/>
          <w:szCs w:val="18"/>
        </w:rPr>
        <w:br/>
      </w:r>
    </w:p>
    <w:p w14:paraId="4B420060" w14:textId="77777777" w:rsidR="00633895" w:rsidRDefault="00765242" w:rsidP="00633895">
      <w:pPr>
        <w:rPr>
          <w:u w:val="single"/>
        </w:rPr>
      </w:pPr>
      <w:r w:rsidRPr="00633895">
        <w:rPr>
          <w:u w:val="single"/>
        </w:rPr>
        <w:t>Veiligheid en Rechtsorde</w:t>
      </w:r>
    </w:p>
    <w:p w14:paraId="3D10B69A" w14:textId="7F48FF6E" w:rsidR="008F4A4F" w:rsidRPr="00633895" w:rsidRDefault="00633895" w:rsidP="00765242">
      <w:pPr>
        <w:rPr>
          <w:i/>
        </w:rPr>
      </w:pPr>
      <w:r w:rsidRPr="00633895">
        <w:rPr>
          <w:i/>
        </w:rPr>
        <w:t>B</w:t>
      </w:r>
      <w:r w:rsidR="008F4A4F" w:rsidRPr="00633895">
        <w:rPr>
          <w:i/>
        </w:rPr>
        <w:t>eperkt relevant.</w:t>
      </w:r>
      <w:r>
        <w:rPr>
          <w:i/>
        </w:rPr>
        <w:t xml:space="preserve"> </w:t>
      </w:r>
      <w:r w:rsidR="008F4A4F">
        <w:t xml:space="preserve">Ook voor dit thema geldt dat OCHA hier geen directe interventies in het veld pleegt, maar er wel aandacht aan besteedt in de coördinatie van humanitaire hulpverlening en in de samenwerking met andere actoren ten behoeve van de overgang naar structurelere ontwikkelingsactiviteiten. Ook de inzet van de ERC in briefings voor de Veiligheidsraad waar het gaat om de bescherming van burgers in gewapend conflict, de actieve rol van OCHA in het </w:t>
      </w:r>
      <w:r w:rsidR="008F4A4F" w:rsidRPr="00765242">
        <w:rPr>
          <w:i/>
        </w:rPr>
        <w:t xml:space="preserve">Global </w:t>
      </w:r>
      <w:proofErr w:type="spellStart"/>
      <w:r w:rsidR="008F4A4F" w:rsidRPr="00765242">
        <w:rPr>
          <w:i/>
        </w:rPr>
        <w:t>Protection</w:t>
      </w:r>
      <w:proofErr w:type="spellEnd"/>
      <w:r w:rsidR="008F4A4F" w:rsidRPr="00765242">
        <w:rPr>
          <w:i/>
        </w:rPr>
        <w:t xml:space="preserve"> Cluster</w:t>
      </w:r>
      <w:r w:rsidR="008F4A4F">
        <w:t xml:space="preserve">, en </w:t>
      </w:r>
      <w:proofErr w:type="spellStart"/>
      <w:r w:rsidR="008F4A4F">
        <w:t>OCHA’s</w:t>
      </w:r>
      <w:proofErr w:type="spellEnd"/>
      <w:r w:rsidR="008F4A4F">
        <w:t xml:space="preserve"> samenwerking met DPKO in VN-vredesoperaties duidt op </w:t>
      </w:r>
      <w:r w:rsidR="00B65915">
        <w:t xml:space="preserve">een actieve rol en </w:t>
      </w:r>
      <w:r w:rsidR="008F4A4F">
        <w:t xml:space="preserve">voldoende aandacht voor dit thema bij de organisatie. </w:t>
      </w:r>
    </w:p>
    <w:p w14:paraId="3D10B69B" w14:textId="77777777" w:rsidR="00BB06B0" w:rsidRDefault="00BB06B0" w:rsidP="00BB06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4"/>
        <w:gridCol w:w="1535"/>
        <w:gridCol w:w="1582"/>
        <w:gridCol w:w="1256"/>
      </w:tblGrid>
      <w:tr w:rsidR="00674C14" w14:paraId="3D10B6B1" w14:textId="77777777" w:rsidTr="00AE6D8C">
        <w:tc>
          <w:tcPr>
            <w:tcW w:w="771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D10B6B0" w14:textId="1E892FBA" w:rsidR="00674C14" w:rsidRPr="00792AB2" w:rsidRDefault="00145A7D" w:rsidP="00145A7D">
            <w:pPr>
              <w:rPr>
                <w:b/>
              </w:rPr>
            </w:pPr>
            <w:r>
              <w:rPr>
                <w:b/>
              </w:rPr>
              <w:t>Relevantie voor de Nederlandse BHOS-prioriteiten</w:t>
            </w:r>
          </w:p>
        </w:tc>
      </w:tr>
      <w:tr w:rsidR="008B720C" w14:paraId="3D10B6B6" w14:textId="77777777" w:rsidTr="00AE6D8C">
        <w:tc>
          <w:tcPr>
            <w:tcW w:w="3342" w:type="dxa"/>
            <w:tcBorders>
              <w:top w:val="single" w:sz="12" w:space="0" w:color="auto"/>
              <w:left w:val="single" w:sz="12" w:space="0" w:color="auto"/>
              <w:bottom w:val="single" w:sz="12" w:space="0" w:color="auto"/>
            </w:tcBorders>
            <w:shd w:val="clear" w:color="auto" w:fill="BFBFBF" w:themeFill="background1" w:themeFillShade="BF"/>
          </w:tcPr>
          <w:p w14:paraId="3D10B6B2" w14:textId="77777777" w:rsidR="008B720C" w:rsidRPr="00792AB2" w:rsidRDefault="008B720C" w:rsidP="002C45B0">
            <w:pPr>
              <w:rPr>
                <w:b/>
                <w:i/>
              </w:rPr>
            </w:pPr>
          </w:p>
        </w:tc>
        <w:tc>
          <w:tcPr>
            <w:tcW w:w="1537" w:type="dxa"/>
            <w:tcBorders>
              <w:top w:val="single" w:sz="12" w:space="0" w:color="auto"/>
              <w:bottom w:val="single" w:sz="12" w:space="0" w:color="auto"/>
            </w:tcBorders>
            <w:shd w:val="clear" w:color="auto" w:fill="BFBFBF" w:themeFill="background1" w:themeFillShade="BF"/>
          </w:tcPr>
          <w:p w14:paraId="3D10B6B3" w14:textId="77777777" w:rsidR="00674C14" w:rsidRPr="00792AB2" w:rsidRDefault="008B720C" w:rsidP="002C45B0">
            <w:pPr>
              <w:rPr>
                <w:b/>
              </w:rPr>
            </w:pPr>
            <w:r w:rsidRPr="00792AB2">
              <w:rPr>
                <w:b/>
              </w:rPr>
              <w:t>Uitvoerend</w:t>
            </w:r>
          </w:p>
        </w:tc>
        <w:tc>
          <w:tcPr>
            <w:tcW w:w="1582" w:type="dxa"/>
            <w:tcBorders>
              <w:top w:val="single" w:sz="12" w:space="0" w:color="auto"/>
              <w:bottom w:val="single" w:sz="12" w:space="0" w:color="auto"/>
            </w:tcBorders>
            <w:shd w:val="clear" w:color="auto" w:fill="BFBFBF" w:themeFill="background1" w:themeFillShade="BF"/>
          </w:tcPr>
          <w:p w14:paraId="3D10B6B4" w14:textId="77777777" w:rsidR="008B720C" w:rsidRPr="00792AB2" w:rsidRDefault="008B720C" w:rsidP="002C45B0">
            <w:pPr>
              <w:rPr>
                <w:b/>
              </w:rPr>
            </w:pPr>
            <w:r w:rsidRPr="00792AB2">
              <w:rPr>
                <w:b/>
              </w:rPr>
              <w:t>Coördinerend</w:t>
            </w:r>
          </w:p>
        </w:tc>
        <w:tc>
          <w:tcPr>
            <w:tcW w:w="1256" w:type="dxa"/>
            <w:tcBorders>
              <w:top w:val="single" w:sz="12" w:space="0" w:color="auto"/>
              <w:bottom w:val="single" w:sz="12" w:space="0" w:color="auto"/>
              <w:right w:val="single" w:sz="12" w:space="0" w:color="auto"/>
            </w:tcBorders>
            <w:shd w:val="clear" w:color="auto" w:fill="BFBFBF" w:themeFill="background1" w:themeFillShade="BF"/>
          </w:tcPr>
          <w:p w14:paraId="3D10B6B5" w14:textId="77777777" w:rsidR="008B720C" w:rsidRPr="00792AB2" w:rsidRDefault="008B720C" w:rsidP="002C45B0">
            <w:pPr>
              <w:rPr>
                <w:b/>
              </w:rPr>
            </w:pPr>
            <w:r w:rsidRPr="00792AB2">
              <w:rPr>
                <w:b/>
              </w:rPr>
              <w:t>Normatief</w:t>
            </w:r>
          </w:p>
        </w:tc>
      </w:tr>
      <w:tr w:rsidR="008B720C" w14:paraId="3D10B6CF" w14:textId="77777777" w:rsidTr="00CB1134">
        <w:tc>
          <w:tcPr>
            <w:tcW w:w="3342" w:type="dxa"/>
            <w:tcBorders>
              <w:top w:val="single" w:sz="12" w:space="0" w:color="auto"/>
              <w:left w:val="single" w:sz="12" w:space="0" w:color="auto"/>
            </w:tcBorders>
            <w:shd w:val="clear" w:color="auto" w:fill="auto"/>
          </w:tcPr>
          <w:p w14:paraId="3D10B6CB" w14:textId="304E2F83" w:rsidR="00975BFB" w:rsidRDefault="008B720C" w:rsidP="008B720C">
            <w:r>
              <w:t>Gendergelijkheid</w:t>
            </w:r>
          </w:p>
        </w:tc>
        <w:tc>
          <w:tcPr>
            <w:tcW w:w="1537" w:type="dxa"/>
            <w:tcBorders>
              <w:top w:val="single" w:sz="12" w:space="0" w:color="auto"/>
            </w:tcBorders>
            <w:shd w:val="clear" w:color="auto" w:fill="auto"/>
          </w:tcPr>
          <w:p w14:paraId="3D10B6CC" w14:textId="77777777" w:rsidR="00896454" w:rsidRDefault="00320395" w:rsidP="005A0187">
            <w:pPr>
              <w:jc w:val="center"/>
            </w:pPr>
            <w:r>
              <w:t>4</w:t>
            </w:r>
          </w:p>
        </w:tc>
        <w:tc>
          <w:tcPr>
            <w:tcW w:w="1582" w:type="dxa"/>
            <w:tcBorders>
              <w:top w:val="single" w:sz="12" w:space="0" w:color="auto"/>
            </w:tcBorders>
            <w:shd w:val="clear" w:color="auto" w:fill="auto"/>
          </w:tcPr>
          <w:p w14:paraId="3D10B6CD" w14:textId="77777777" w:rsidR="00896454" w:rsidRDefault="00320395" w:rsidP="005A0187">
            <w:pPr>
              <w:jc w:val="center"/>
            </w:pPr>
            <w:r>
              <w:t>4</w:t>
            </w:r>
          </w:p>
        </w:tc>
        <w:tc>
          <w:tcPr>
            <w:tcW w:w="1256" w:type="dxa"/>
            <w:tcBorders>
              <w:top w:val="single" w:sz="12" w:space="0" w:color="auto"/>
              <w:right w:val="single" w:sz="12" w:space="0" w:color="auto"/>
            </w:tcBorders>
            <w:shd w:val="clear" w:color="auto" w:fill="auto"/>
          </w:tcPr>
          <w:p w14:paraId="3D10B6CE" w14:textId="77777777" w:rsidR="00896454" w:rsidRDefault="00320395" w:rsidP="005A0187">
            <w:pPr>
              <w:jc w:val="center"/>
            </w:pPr>
            <w:r>
              <w:t>4</w:t>
            </w:r>
          </w:p>
        </w:tc>
      </w:tr>
      <w:tr w:rsidR="008B720C" w14:paraId="3D10B6DE" w14:textId="77777777" w:rsidTr="00CB1134">
        <w:tc>
          <w:tcPr>
            <w:tcW w:w="3342" w:type="dxa"/>
            <w:tcBorders>
              <w:left w:val="single" w:sz="12" w:space="0" w:color="auto"/>
            </w:tcBorders>
            <w:shd w:val="clear" w:color="auto" w:fill="auto"/>
          </w:tcPr>
          <w:p w14:paraId="3D10B6DA" w14:textId="6ADAE986" w:rsidR="00975BFB" w:rsidRDefault="008B720C" w:rsidP="002C45B0">
            <w:r>
              <w:t>Humanitaire hulp</w:t>
            </w:r>
          </w:p>
        </w:tc>
        <w:tc>
          <w:tcPr>
            <w:tcW w:w="1537" w:type="dxa"/>
            <w:shd w:val="clear" w:color="auto" w:fill="auto"/>
          </w:tcPr>
          <w:p w14:paraId="3D10B6DB" w14:textId="77777777" w:rsidR="00896454" w:rsidRDefault="008A76EC" w:rsidP="005A0187">
            <w:pPr>
              <w:jc w:val="center"/>
            </w:pPr>
            <w:r>
              <w:t>4</w:t>
            </w:r>
          </w:p>
        </w:tc>
        <w:tc>
          <w:tcPr>
            <w:tcW w:w="1582" w:type="dxa"/>
            <w:shd w:val="clear" w:color="auto" w:fill="auto"/>
          </w:tcPr>
          <w:p w14:paraId="3D10B6DC" w14:textId="77777777" w:rsidR="00896454" w:rsidRDefault="008A76EC" w:rsidP="005A0187">
            <w:pPr>
              <w:jc w:val="center"/>
            </w:pPr>
            <w:r>
              <w:t>4</w:t>
            </w:r>
          </w:p>
        </w:tc>
        <w:tc>
          <w:tcPr>
            <w:tcW w:w="1256" w:type="dxa"/>
            <w:tcBorders>
              <w:right w:val="single" w:sz="12" w:space="0" w:color="auto"/>
            </w:tcBorders>
            <w:shd w:val="clear" w:color="auto" w:fill="auto"/>
          </w:tcPr>
          <w:p w14:paraId="3D10B6DD" w14:textId="77777777" w:rsidR="00896454" w:rsidRDefault="008A76EC" w:rsidP="005A0187">
            <w:pPr>
              <w:jc w:val="center"/>
            </w:pPr>
            <w:r>
              <w:t>4</w:t>
            </w:r>
          </w:p>
        </w:tc>
      </w:tr>
      <w:tr w:rsidR="00323076" w14:paraId="78F5CDD5" w14:textId="77777777" w:rsidTr="00CB1134">
        <w:tc>
          <w:tcPr>
            <w:tcW w:w="3342" w:type="dxa"/>
            <w:tcBorders>
              <w:left w:val="single" w:sz="12" w:space="0" w:color="auto"/>
              <w:bottom w:val="single" w:sz="12" w:space="0" w:color="auto"/>
            </w:tcBorders>
            <w:shd w:val="clear" w:color="auto" w:fill="auto"/>
          </w:tcPr>
          <w:p w14:paraId="4F42768C" w14:textId="75A8C53D" w:rsidR="00975BFB" w:rsidRDefault="00323076" w:rsidP="002C45B0">
            <w:r>
              <w:t>SRGR</w:t>
            </w:r>
          </w:p>
        </w:tc>
        <w:tc>
          <w:tcPr>
            <w:tcW w:w="1537" w:type="dxa"/>
            <w:tcBorders>
              <w:bottom w:val="single" w:sz="12" w:space="0" w:color="auto"/>
            </w:tcBorders>
            <w:shd w:val="clear" w:color="auto" w:fill="auto"/>
          </w:tcPr>
          <w:p w14:paraId="43CAAB95" w14:textId="77777777" w:rsidR="00323076" w:rsidRDefault="00323076" w:rsidP="005A0187">
            <w:pPr>
              <w:jc w:val="center"/>
            </w:pPr>
          </w:p>
        </w:tc>
        <w:tc>
          <w:tcPr>
            <w:tcW w:w="1582" w:type="dxa"/>
            <w:tcBorders>
              <w:bottom w:val="single" w:sz="12" w:space="0" w:color="auto"/>
            </w:tcBorders>
            <w:shd w:val="clear" w:color="auto" w:fill="auto"/>
          </w:tcPr>
          <w:p w14:paraId="51253AFC" w14:textId="2E74DA86" w:rsidR="00323076" w:rsidRDefault="00323076" w:rsidP="005A0187">
            <w:pPr>
              <w:jc w:val="center"/>
            </w:pPr>
            <w:r>
              <w:t>3</w:t>
            </w:r>
          </w:p>
        </w:tc>
        <w:tc>
          <w:tcPr>
            <w:tcW w:w="1256" w:type="dxa"/>
            <w:tcBorders>
              <w:bottom w:val="single" w:sz="12" w:space="0" w:color="auto"/>
              <w:right w:val="single" w:sz="12" w:space="0" w:color="auto"/>
            </w:tcBorders>
            <w:shd w:val="clear" w:color="auto" w:fill="auto"/>
          </w:tcPr>
          <w:p w14:paraId="1C54B6CE" w14:textId="49AD4EE1" w:rsidR="00323076" w:rsidRDefault="00323076" w:rsidP="005A0187">
            <w:pPr>
              <w:jc w:val="center"/>
            </w:pPr>
            <w:r>
              <w:t>3</w:t>
            </w:r>
          </w:p>
        </w:tc>
      </w:tr>
    </w:tbl>
    <w:p w14:paraId="3D10B6E4" w14:textId="77777777" w:rsidR="008B720C" w:rsidRDefault="008B720C" w:rsidP="002C45B0"/>
    <w:p w14:paraId="3D10B6E5" w14:textId="7D94C50F" w:rsidR="008624F0" w:rsidRDefault="00145A7D" w:rsidP="008624F0">
      <w:pPr>
        <w:pStyle w:val="Heading2"/>
        <w:tabs>
          <w:tab w:val="left" w:pos="-1162"/>
          <w:tab w:val="left" w:pos="0"/>
          <w:tab w:val="num" w:pos="1160"/>
        </w:tabs>
        <w:spacing w:line="240" w:lineRule="auto"/>
        <w:ind w:hanging="1162"/>
      </w:pPr>
      <w:bookmarkStart w:id="42" w:name="_Toc410140912"/>
      <w:bookmarkStart w:id="43" w:name="_Toc491439714"/>
      <w:r>
        <w:t>5</w:t>
      </w:r>
      <w:r w:rsidR="003331DA">
        <w:t>.</w:t>
      </w:r>
      <w:r w:rsidR="00195B13">
        <w:t>2</w:t>
      </w:r>
      <w:r w:rsidR="008624F0">
        <w:tab/>
        <w:t>Overige relevantie</w:t>
      </w:r>
      <w:bookmarkEnd w:id="42"/>
      <w:bookmarkEnd w:id="43"/>
      <w:r w:rsidR="0057402A">
        <w:t xml:space="preserve"> </w:t>
      </w:r>
    </w:p>
    <w:p w14:paraId="3D10B6E6" w14:textId="77777777" w:rsidR="00CF6BC9" w:rsidRPr="000C1B5D" w:rsidRDefault="00CF6BC9" w:rsidP="00CF6BC9">
      <w:pPr>
        <w:rPr>
          <w:rFonts w:cs="Verdana"/>
          <w:szCs w:val="18"/>
        </w:rPr>
      </w:pPr>
      <w:r>
        <w:rPr>
          <w:rFonts w:cs="Verdana"/>
          <w:szCs w:val="18"/>
        </w:rPr>
        <w:t>Relevant. De</w:t>
      </w:r>
      <w:r w:rsidRPr="00C82739">
        <w:rPr>
          <w:rFonts w:cs="Verdana"/>
          <w:szCs w:val="18"/>
        </w:rPr>
        <w:t xml:space="preserve"> coördinerende functie </w:t>
      </w:r>
      <w:r>
        <w:rPr>
          <w:rFonts w:cs="Verdana"/>
          <w:szCs w:val="18"/>
        </w:rPr>
        <w:t>van</w:t>
      </w:r>
      <w:r w:rsidRPr="00C82739">
        <w:rPr>
          <w:rFonts w:cs="Verdana"/>
          <w:szCs w:val="18"/>
        </w:rPr>
        <w:t xml:space="preserve"> OCHA </w:t>
      </w:r>
      <w:r>
        <w:rPr>
          <w:rFonts w:cs="Verdana"/>
          <w:szCs w:val="18"/>
        </w:rPr>
        <w:t xml:space="preserve">heeft </w:t>
      </w:r>
      <w:r w:rsidRPr="00C82739">
        <w:rPr>
          <w:rFonts w:cs="Verdana"/>
          <w:szCs w:val="18"/>
        </w:rPr>
        <w:t xml:space="preserve">een concrete meerwaarde als systeemorganisatie voor </w:t>
      </w:r>
      <w:r w:rsidR="00244E3B">
        <w:rPr>
          <w:rFonts w:cs="Verdana"/>
          <w:szCs w:val="18"/>
        </w:rPr>
        <w:t>de VN</w:t>
      </w:r>
      <w:r w:rsidRPr="00C82739">
        <w:rPr>
          <w:rFonts w:cs="Verdana"/>
          <w:szCs w:val="18"/>
        </w:rPr>
        <w:t xml:space="preserve">. </w:t>
      </w:r>
      <w:r>
        <w:rPr>
          <w:rFonts w:cs="Verdana"/>
          <w:szCs w:val="18"/>
        </w:rPr>
        <w:t xml:space="preserve">OCHA </w:t>
      </w:r>
      <w:r w:rsidR="00244E3B">
        <w:rPr>
          <w:rFonts w:cs="Verdana"/>
          <w:szCs w:val="18"/>
        </w:rPr>
        <w:t>coördineert</w:t>
      </w:r>
      <w:r>
        <w:rPr>
          <w:rFonts w:cs="Verdana"/>
          <w:szCs w:val="18"/>
        </w:rPr>
        <w:t xml:space="preserve"> VN</w:t>
      </w:r>
      <w:r w:rsidR="00244E3B">
        <w:rPr>
          <w:rFonts w:cs="Verdana"/>
          <w:szCs w:val="18"/>
        </w:rPr>
        <w:t>-actie</w:t>
      </w:r>
      <w:r>
        <w:rPr>
          <w:rFonts w:cs="Verdana"/>
          <w:szCs w:val="18"/>
        </w:rPr>
        <w:t xml:space="preserve"> en </w:t>
      </w:r>
      <w:r w:rsidR="00244E3B">
        <w:rPr>
          <w:rFonts w:cs="Verdana"/>
          <w:szCs w:val="18"/>
        </w:rPr>
        <w:t>stimuleert gezamenlijke humanitaire hulp</w:t>
      </w:r>
      <w:r>
        <w:rPr>
          <w:rFonts w:cs="Verdana"/>
          <w:szCs w:val="18"/>
        </w:rPr>
        <w:t xml:space="preserve"> aan de hand van een geïntegreerde VN benadering.</w:t>
      </w:r>
    </w:p>
    <w:p w14:paraId="3D10B6E7" w14:textId="0344CF67" w:rsidR="00300D9E" w:rsidRDefault="00300D9E" w:rsidP="00D94DB4"/>
    <w:p w14:paraId="01D54C75" w14:textId="77777777" w:rsidR="00194F38" w:rsidRDefault="00194F38" w:rsidP="00D94D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499"/>
        <w:gridCol w:w="1685"/>
        <w:gridCol w:w="1429"/>
      </w:tblGrid>
      <w:tr w:rsidR="00AE6D8C" w14:paraId="3AD05CB9" w14:textId="77777777" w:rsidTr="003B3E90">
        <w:tc>
          <w:tcPr>
            <w:tcW w:w="7697"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81EA5EE" w14:textId="06F07F4A" w:rsidR="00AE6D8C" w:rsidRPr="00AE6D8C" w:rsidRDefault="00AE6D8C" w:rsidP="00AE6D8C">
            <w:pPr>
              <w:rPr>
                <w:i/>
              </w:rPr>
            </w:pPr>
            <w:r>
              <w:rPr>
                <w:b/>
              </w:rPr>
              <w:lastRenderedPageBreak/>
              <w:t>Overige relevantie</w:t>
            </w:r>
          </w:p>
        </w:tc>
      </w:tr>
      <w:tr w:rsidR="00587797" w14:paraId="3D10B6EC" w14:textId="77777777" w:rsidTr="00AE6D8C">
        <w:tc>
          <w:tcPr>
            <w:tcW w:w="3084" w:type="dxa"/>
            <w:tcBorders>
              <w:top w:val="single" w:sz="12" w:space="0" w:color="auto"/>
              <w:left w:val="single" w:sz="12" w:space="0" w:color="auto"/>
              <w:bottom w:val="single" w:sz="12" w:space="0" w:color="auto"/>
            </w:tcBorders>
            <w:shd w:val="clear" w:color="auto" w:fill="BFBFBF" w:themeFill="background1" w:themeFillShade="BF"/>
          </w:tcPr>
          <w:p w14:paraId="3D10B6E8" w14:textId="77777777" w:rsidR="00587797" w:rsidRPr="00B06CE6" w:rsidRDefault="00587797" w:rsidP="00755248">
            <w:pPr>
              <w:rPr>
                <w:i/>
              </w:rPr>
            </w:pPr>
          </w:p>
        </w:tc>
        <w:tc>
          <w:tcPr>
            <w:tcW w:w="1499" w:type="dxa"/>
            <w:tcBorders>
              <w:top w:val="single" w:sz="12" w:space="0" w:color="auto"/>
              <w:bottom w:val="single" w:sz="12" w:space="0" w:color="auto"/>
            </w:tcBorders>
            <w:shd w:val="clear" w:color="auto" w:fill="BFBFBF" w:themeFill="background1" w:themeFillShade="BF"/>
          </w:tcPr>
          <w:p w14:paraId="3D10B6E9" w14:textId="77777777" w:rsidR="00896454" w:rsidRDefault="00587797" w:rsidP="005A0187">
            <w:pPr>
              <w:jc w:val="center"/>
              <w:rPr>
                <w:b/>
              </w:rPr>
            </w:pPr>
            <w:r w:rsidRPr="00B06CE6">
              <w:rPr>
                <w:b/>
              </w:rPr>
              <w:t>Uitvoerend</w:t>
            </w:r>
          </w:p>
        </w:tc>
        <w:tc>
          <w:tcPr>
            <w:tcW w:w="1685" w:type="dxa"/>
            <w:tcBorders>
              <w:top w:val="single" w:sz="12" w:space="0" w:color="auto"/>
              <w:bottom w:val="single" w:sz="12" w:space="0" w:color="auto"/>
            </w:tcBorders>
            <w:shd w:val="clear" w:color="auto" w:fill="BFBFBF" w:themeFill="background1" w:themeFillShade="BF"/>
          </w:tcPr>
          <w:p w14:paraId="3D10B6EA" w14:textId="77777777" w:rsidR="00896454" w:rsidRDefault="00587797" w:rsidP="005A0187">
            <w:pPr>
              <w:jc w:val="center"/>
              <w:rPr>
                <w:b/>
              </w:rPr>
            </w:pPr>
            <w:r w:rsidRPr="00B06CE6">
              <w:rPr>
                <w:b/>
              </w:rPr>
              <w:t>Coördinerend</w:t>
            </w:r>
          </w:p>
        </w:tc>
        <w:tc>
          <w:tcPr>
            <w:tcW w:w="1429" w:type="dxa"/>
            <w:tcBorders>
              <w:top w:val="single" w:sz="12" w:space="0" w:color="auto"/>
              <w:bottom w:val="single" w:sz="12" w:space="0" w:color="auto"/>
              <w:right w:val="single" w:sz="12" w:space="0" w:color="auto"/>
            </w:tcBorders>
            <w:shd w:val="clear" w:color="auto" w:fill="BFBFBF" w:themeFill="background1" w:themeFillShade="BF"/>
          </w:tcPr>
          <w:p w14:paraId="3D10B6EB" w14:textId="77777777" w:rsidR="00896454" w:rsidRDefault="00587797" w:rsidP="005A0187">
            <w:pPr>
              <w:jc w:val="center"/>
              <w:rPr>
                <w:b/>
              </w:rPr>
            </w:pPr>
            <w:r w:rsidRPr="00B06CE6">
              <w:rPr>
                <w:b/>
              </w:rPr>
              <w:t>Normatief</w:t>
            </w:r>
          </w:p>
        </w:tc>
      </w:tr>
      <w:tr w:rsidR="00587797" w14:paraId="3D10B6F1" w14:textId="77777777" w:rsidTr="00AE6D8C">
        <w:tc>
          <w:tcPr>
            <w:tcW w:w="3084" w:type="dxa"/>
            <w:tcBorders>
              <w:top w:val="single" w:sz="12" w:space="0" w:color="auto"/>
              <w:left w:val="single" w:sz="12" w:space="0" w:color="auto"/>
              <w:bottom w:val="single" w:sz="12" w:space="0" w:color="auto"/>
            </w:tcBorders>
            <w:shd w:val="clear" w:color="auto" w:fill="auto"/>
          </w:tcPr>
          <w:p w14:paraId="3D10B6ED" w14:textId="6D52E0AD" w:rsidR="00975BFB" w:rsidRPr="00C02E0F" w:rsidRDefault="004F36CC" w:rsidP="004F36CC">
            <w:r>
              <w:t>Internationale coördinatie en samenwerking humanitaire hulp</w:t>
            </w:r>
          </w:p>
        </w:tc>
        <w:tc>
          <w:tcPr>
            <w:tcW w:w="1499" w:type="dxa"/>
            <w:tcBorders>
              <w:top w:val="single" w:sz="12" w:space="0" w:color="auto"/>
              <w:bottom w:val="single" w:sz="12" w:space="0" w:color="auto"/>
            </w:tcBorders>
            <w:shd w:val="clear" w:color="auto" w:fill="auto"/>
          </w:tcPr>
          <w:p w14:paraId="3D10B6EE" w14:textId="77777777" w:rsidR="00896454" w:rsidRDefault="00CF6BC9" w:rsidP="005A0187">
            <w:pPr>
              <w:jc w:val="center"/>
            </w:pPr>
            <w:r>
              <w:t>4</w:t>
            </w:r>
          </w:p>
        </w:tc>
        <w:tc>
          <w:tcPr>
            <w:tcW w:w="1685" w:type="dxa"/>
            <w:tcBorders>
              <w:top w:val="single" w:sz="12" w:space="0" w:color="auto"/>
              <w:bottom w:val="single" w:sz="12" w:space="0" w:color="auto"/>
            </w:tcBorders>
            <w:shd w:val="clear" w:color="auto" w:fill="auto"/>
          </w:tcPr>
          <w:p w14:paraId="3D10B6EF" w14:textId="77777777" w:rsidR="00896454" w:rsidRDefault="00CF6BC9" w:rsidP="005A0187">
            <w:pPr>
              <w:jc w:val="center"/>
            </w:pPr>
            <w:r>
              <w:t>4</w:t>
            </w:r>
          </w:p>
        </w:tc>
        <w:tc>
          <w:tcPr>
            <w:tcW w:w="1429" w:type="dxa"/>
            <w:tcBorders>
              <w:top w:val="single" w:sz="12" w:space="0" w:color="auto"/>
              <w:bottom w:val="single" w:sz="12" w:space="0" w:color="auto"/>
              <w:right w:val="single" w:sz="12" w:space="0" w:color="auto"/>
            </w:tcBorders>
            <w:shd w:val="clear" w:color="auto" w:fill="auto"/>
          </w:tcPr>
          <w:p w14:paraId="3D10B6F0" w14:textId="77777777" w:rsidR="00896454" w:rsidRDefault="00CF6BC9" w:rsidP="005A0187">
            <w:pPr>
              <w:jc w:val="center"/>
            </w:pPr>
            <w:r>
              <w:t>4</w:t>
            </w:r>
          </w:p>
        </w:tc>
      </w:tr>
    </w:tbl>
    <w:p w14:paraId="3D10B6F2" w14:textId="04BC791B" w:rsidR="007706BC" w:rsidRDefault="007706BC" w:rsidP="00145A7D"/>
    <w:sectPr w:rsidR="007706BC" w:rsidSect="00EE1B9E">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6C52D" w14:textId="77777777" w:rsidR="003B3E90" w:rsidRDefault="003B3E90">
      <w:r>
        <w:separator/>
      </w:r>
    </w:p>
    <w:p w14:paraId="2BE70AC4" w14:textId="77777777" w:rsidR="003B3E90" w:rsidRDefault="003B3E90"/>
    <w:p w14:paraId="5994DC9D" w14:textId="77777777" w:rsidR="003B3E90" w:rsidRDefault="003B3E90"/>
  </w:endnote>
  <w:endnote w:type="continuationSeparator" w:id="0">
    <w:p w14:paraId="41675737" w14:textId="77777777" w:rsidR="003B3E90" w:rsidRDefault="003B3E90">
      <w:r>
        <w:continuationSeparator/>
      </w:r>
    </w:p>
    <w:p w14:paraId="3489AF13" w14:textId="77777777" w:rsidR="003B3E90" w:rsidRDefault="003B3E90"/>
    <w:p w14:paraId="210E3A6E" w14:textId="77777777" w:rsidR="003B3E90" w:rsidRDefault="003B3E90"/>
  </w:endnote>
  <w:endnote w:type="continuationNotice" w:id="1">
    <w:p w14:paraId="06C01F91" w14:textId="77777777" w:rsidR="003B3E90" w:rsidRDefault="003B3E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3B3E90" w:rsidRPr="00785F18" w14:paraId="3D10B7D6" w14:textId="77777777" w:rsidTr="003B518B">
      <w:trPr>
        <w:trHeight w:hRule="exact" w:val="240"/>
      </w:trPr>
      <w:tc>
        <w:tcPr>
          <w:tcW w:w="7752" w:type="dxa"/>
          <w:gridSpan w:val="3"/>
          <w:shd w:val="clear" w:color="auto" w:fill="auto"/>
        </w:tcPr>
        <w:p w14:paraId="3D10B7D5" w14:textId="77777777" w:rsidR="003B3E90" w:rsidRPr="00785F18" w:rsidRDefault="003B3E90">
          <w:pPr>
            <w:spacing w:line="240" w:lineRule="auto"/>
          </w:pPr>
        </w:p>
      </w:tc>
    </w:tr>
    <w:tr w:rsidR="003B3E90" w:rsidRPr="00785F18" w14:paraId="3D10B7D9" w14:textId="77777777" w:rsidTr="003B518B">
      <w:trPr>
        <w:gridAfter w:val="1"/>
        <w:wAfter w:w="99" w:type="dxa"/>
        <w:trHeight w:hRule="exact" w:val="240"/>
      </w:trPr>
      <w:tc>
        <w:tcPr>
          <w:tcW w:w="6260" w:type="dxa"/>
          <w:shd w:val="clear" w:color="auto" w:fill="auto"/>
        </w:tcPr>
        <w:p w14:paraId="3D10B7D7" w14:textId="77777777" w:rsidR="003B3E90" w:rsidRPr="00785F18" w:rsidRDefault="00AC00D2" w:rsidP="003B518B">
          <w:pPr>
            <w:pStyle w:val="Huisstijl-Paginanummering"/>
            <w:rPr>
              <w:rStyle w:val="Huisstijl-Rubricering"/>
            </w:rPr>
          </w:pPr>
          <w:fldSimple w:instr=" DOCPROPERTY  L_PAGE  \* MERGEFORMAT ">
            <w:r w:rsidR="003B3E90">
              <w:t>Pagina</w:t>
            </w:r>
          </w:fldSimple>
          <w:r w:rsidR="003B3E90" w:rsidRPr="00785F18">
            <w:t xml:space="preserve"> </w:t>
          </w:r>
          <w:r w:rsidR="003B3E90" w:rsidRPr="00785F18">
            <w:fldChar w:fldCharType="begin"/>
          </w:r>
          <w:r w:rsidR="003B3E90" w:rsidRPr="00785F18">
            <w:instrText xml:space="preserve"> PAGE   \* MERGEFORMAT </w:instrText>
          </w:r>
          <w:r w:rsidR="003B3E90" w:rsidRPr="00785F18">
            <w:fldChar w:fldCharType="separate"/>
          </w:r>
          <w:r w:rsidR="003B3E90">
            <w:t>16</w:t>
          </w:r>
          <w:r w:rsidR="003B3E90" w:rsidRPr="00785F18">
            <w:fldChar w:fldCharType="end"/>
          </w:r>
          <w:r w:rsidR="003B3E90" w:rsidRPr="00785F18">
            <w:t xml:space="preserve"> </w:t>
          </w:r>
          <w:fldSimple w:instr=" DOCPROPERTY  L_PAGEOF  \* MERGEFORMAT ">
            <w:r w:rsidR="003B3E90">
              <w:t>van</w:t>
            </w:r>
          </w:fldSimple>
          <w:r w:rsidR="003B3E90" w:rsidRPr="00785F18">
            <w:t xml:space="preserve"> </w:t>
          </w:r>
          <w:fldSimple w:instr=" NUMPAGES   \* MERGEFORMAT ">
            <w:r w:rsidR="003B3E90">
              <w:t>16</w:t>
            </w:r>
          </w:fldSimple>
        </w:p>
      </w:tc>
      <w:tc>
        <w:tcPr>
          <w:tcW w:w="1392" w:type="dxa"/>
        </w:tcPr>
        <w:p w14:paraId="3D10B7D8" w14:textId="77777777" w:rsidR="003B3E90" w:rsidRPr="00785F18" w:rsidRDefault="003B3E90" w:rsidP="003B518B">
          <w:pPr>
            <w:pStyle w:val="Huisstijl-Paginanummering"/>
            <w:jc w:val="right"/>
          </w:pPr>
        </w:p>
      </w:tc>
    </w:tr>
  </w:tbl>
  <w:p w14:paraId="3D10B7DA" w14:textId="77777777" w:rsidR="003B3E90" w:rsidRPr="00785F18" w:rsidRDefault="003B3E90" w:rsidP="003B518B">
    <w:pP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446697"/>
      <w:docPartObj>
        <w:docPartGallery w:val="Page Numbers (Bottom of Page)"/>
        <w:docPartUnique/>
      </w:docPartObj>
    </w:sdtPr>
    <w:sdtContent>
      <w:sdt>
        <w:sdtPr>
          <w:id w:val="-1769616900"/>
          <w:docPartObj>
            <w:docPartGallery w:val="Page Numbers (Top of Page)"/>
            <w:docPartUnique/>
          </w:docPartObj>
        </w:sdtPr>
        <w:sdtContent>
          <w:p w14:paraId="35A0424C" w14:textId="2E012ED3" w:rsidR="00194F38" w:rsidRPr="00194F38" w:rsidRDefault="00194F38">
            <w:pPr>
              <w:pStyle w:val="Footer"/>
              <w:jc w:val="right"/>
            </w:pPr>
            <w:r w:rsidRPr="00194F38">
              <w:t xml:space="preserve">Pagina </w:t>
            </w:r>
            <w:r w:rsidRPr="00194F38">
              <w:rPr>
                <w:bCs/>
                <w:sz w:val="24"/>
              </w:rPr>
              <w:fldChar w:fldCharType="begin"/>
            </w:r>
            <w:r w:rsidRPr="00194F38">
              <w:rPr>
                <w:bCs/>
              </w:rPr>
              <w:instrText>PAGE</w:instrText>
            </w:r>
            <w:r w:rsidRPr="00194F38">
              <w:rPr>
                <w:bCs/>
                <w:sz w:val="24"/>
              </w:rPr>
              <w:fldChar w:fldCharType="separate"/>
            </w:r>
            <w:r w:rsidR="00F3640D">
              <w:rPr>
                <w:bCs/>
                <w:noProof/>
              </w:rPr>
              <w:t>3</w:t>
            </w:r>
            <w:r w:rsidRPr="00194F38">
              <w:rPr>
                <w:bCs/>
                <w:sz w:val="24"/>
              </w:rPr>
              <w:fldChar w:fldCharType="end"/>
            </w:r>
            <w:r w:rsidRPr="00194F38">
              <w:t xml:space="preserve"> van </w:t>
            </w:r>
            <w:r w:rsidRPr="00194F38">
              <w:rPr>
                <w:bCs/>
                <w:sz w:val="24"/>
              </w:rPr>
              <w:fldChar w:fldCharType="begin"/>
            </w:r>
            <w:r w:rsidRPr="00194F38">
              <w:rPr>
                <w:bCs/>
              </w:rPr>
              <w:instrText>NUMPAGES</w:instrText>
            </w:r>
            <w:r w:rsidRPr="00194F38">
              <w:rPr>
                <w:bCs/>
                <w:sz w:val="24"/>
              </w:rPr>
              <w:fldChar w:fldCharType="separate"/>
            </w:r>
            <w:r w:rsidR="00F3640D">
              <w:rPr>
                <w:bCs/>
                <w:noProof/>
              </w:rPr>
              <w:t>22</w:t>
            </w:r>
            <w:r w:rsidRPr="00194F38">
              <w:rPr>
                <w:bCs/>
                <w:sz w:val="24"/>
              </w:rPr>
              <w:fldChar w:fldCharType="end"/>
            </w:r>
          </w:p>
        </w:sdtContent>
      </w:sdt>
    </w:sdtContent>
  </w:sdt>
  <w:p w14:paraId="3D10B7DF" w14:textId="77777777" w:rsidR="003B3E90" w:rsidRPr="00785F18" w:rsidRDefault="003B3E90" w:rsidP="003B518B">
    <w:pP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6260"/>
    </w:tblGrid>
    <w:tr w:rsidR="00194F38" w:rsidRPr="00785F18" w14:paraId="3D10B7F2" w14:textId="77777777" w:rsidTr="00B06D4B">
      <w:trPr>
        <w:trHeight w:hRule="exact" w:val="240"/>
      </w:trPr>
      <w:tc>
        <w:tcPr>
          <w:tcW w:w="6260" w:type="dxa"/>
          <w:shd w:val="clear" w:color="auto" w:fill="auto"/>
        </w:tcPr>
        <w:p w14:paraId="3D10B7F0" w14:textId="77777777" w:rsidR="00194F38" w:rsidRPr="00785F18" w:rsidRDefault="00194F38" w:rsidP="00B06D4B">
          <w:pPr>
            <w:rPr>
              <w:rStyle w:val="Huisstijl-Rubricering"/>
            </w:rPr>
          </w:pPr>
        </w:p>
      </w:tc>
    </w:tr>
  </w:tbl>
  <w:p w14:paraId="3D10B7F3" w14:textId="77777777" w:rsidR="003B3E90" w:rsidRPr="00785F18" w:rsidRDefault="003B3E90" w:rsidP="00101F98">
    <w:pPr>
      <w:spacing w:line="240" w:lineRule="auto"/>
      <w:rPr>
        <w:sz w:val="2"/>
        <w:szCs w:val="2"/>
      </w:rPr>
    </w:pPr>
  </w:p>
  <w:p w14:paraId="3D10B7F4" w14:textId="77777777" w:rsidR="003B3E90" w:rsidRPr="00785F18" w:rsidRDefault="003B3E90" w:rsidP="0039744C">
    <w:pP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5A11B" w14:textId="77777777" w:rsidR="003B3E90" w:rsidRPr="00B35331" w:rsidRDefault="003B3E90" w:rsidP="00B35331">
      <w:pPr>
        <w:pStyle w:val="Footer"/>
      </w:pPr>
    </w:p>
  </w:footnote>
  <w:footnote w:type="continuationSeparator" w:id="0">
    <w:p w14:paraId="0E89206A" w14:textId="77777777" w:rsidR="003B3E90" w:rsidRDefault="003B3E90">
      <w:r>
        <w:continuationSeparator/>
      </w:r>
    </w:p>
    <w:p w14:paraId="3DAD347C" w14:textId="77777777" w:rsidR="003B3E90" w:rsidRDefault="003B3E90"/>
    <w:p w14:paraId="38C358CE" w14:textId="77777777" w:rsidR="003B3E90" w:rsidRDefault="003B3E90"/>
  </w:footnote>
  <w:footnote w:type="continuationNotice" w:id="1">
    <w:p w14:paraId="6979E577" w14:textId="77777777" w:rsidR="003B3E90" w:rsidRDefault="003B3E90">
      <w:pPr>
        <w:spacing w:line="240" w:lineRule="auto"/>
      </w:pPr>
    </w:p>
  </w:footnote>
  <w:footnote w:id="2">
    <w:p w14:paraId="3D10B7FA" w14:textId="3C8062B8" w:rsidR="003B3E90" w:rsidRDefault="003B3E90" w:rsidP="005150FC">
      <w:pPr>
        <w:pStyle w:val="FootnoteText"/>
      </w:pPr>
      <w:r>
        <w:rPr>
          <w:rStyle w:val="FootnoteReference"/>
        </w:rPr>
        <w:footnoteRef/>
      </w:r>
      <w:r>
        <w:t xml:space="preserve"> </w:t>
      </w:r>
      <w:r>
        <w:tab/>
        <w:t xml:space="preserve">Binnen MOPAN evalueert Nederland samen met 18 gelijkgezinde landen het functioneren van </w:t>
      </w:r>
      <w:r w:rsidR="005370D9">
        <w:t>VN-organisaties</w:t>
      </w:r>
      <w:r>
        <w:t xml:space="preserve"> en Internationale Financiële Instellingen. Vanaf 2015 worden, per keer, in een tweejaarlijkse cyclus, ongeveer 13 organisaties doorgelicht op organisatorisch functioneren en ontwikkelingseffectiviteit. </w:t>
      </w:r>
    </w:p>
  </w:footnote>
  <w:footnote w:id="3">
    <w:p w14:paraId="5E6E3481" w14:textId="6018B3F9" w:rsidR="003B3E90" w:rsidRPr="00C31651" w:rsidRDefault="003B3E90">
      <w:pPr>
        <w:pStyle w:val="FootnoteText"/>
      </w:pPr>
      <w:r>
        <w:rPr>
          <w:rStyle w:val="FootnoteReference"/>
        </w:rPr>
        <w:footnoteRef/>
      </w:r>
      <w:r>
        <w:t xml:space="preserve"> UNDP, UNICEF, UNHCR, WFP, FAO, WHO, UN-HABITAT, IOM, OCHA</w:t>
      </w:r>
    </w:p>
  </w:footnote>
  <w:footnote w:id="4">
    <w:p w14:paraId="3D10B7FC" w14:textId="1F92878C" w:rsidR="003B3E90" w:rsidRPr="00145A7D" w:rsidRDefault="003B3E90" w:rsidP="005370D9">
      <w:pPr>
        <w:pStyle w:val="NormalWeb"/>
        <w:spacing w:line="276" w:lineRule="auto"/>
        <w:rPr>
          <w:sz w:val="13"/>
          <w:szCs w:val="13"/>
        </w:rPr>
      </w:pPr>
      <w:r w:rsidRPr="00F80265">
        <w:rPr>
          <w:rStyle w:val="FootnoteReference"/>
          <w:sz w:val="13"/>
          <w:szCs w:val="13"/>
        </w:rPr>
        <w:footnoteRef/>
      </w:r>
      <w:r w:rsidRPr="00F80265">
        <w:rPr>
          <w:sz w:val="13"/>
          <w:szCs w:val="13"/>
        </w:rPr>
        <w:t xml:space="preserve"> Jaarlijks streefbedrag voor omvang van </w:t>
      </w:r>
      <w:r>
        <w:rPr>
          <w:sz w:val="13"/>
          <w:szCs w:val="13"/>
        </w:rPr>
        <w:t>CERF: USD 45</w:t>
      </w:r>
      <w:r w:rsidRPr="00F80265">
        <w:rPr>
          <w:sz w:val="13"/>
          <w:szCs w:val="13"/>
        </w:rPr>
        <w:t>0 miljoen</w:t>
      </w:r>
      <w:r w:rsidR="005370D9">
        <w:rPr>
          <w:sz w:val="13"/>
          <w:szCs w:val="13"/>
        </w:rPr>
        <w:t>, vanaf 2018 USD 1 ml</w:t>
      </w:r>
      <w:r>
        <w:rPr>
          <w:sz w:val="13"/>
          <w:szCs w:val="13"/>
        </w:rPr>
        <w:t>d</w:t>
      </w:r>
      <w:r w:rsidR="005370D9">
        <w:rPr>
          <w:sz w:val="13"/>
          <w:szCs w:val="13"/>
        </w:rPr>
        <w:t>.</w:t>
      </w:r>
      <w:r>
        <w:rPr>
          <w:sz w:val="13"/>
          <w:szCs w:val="13"/>
        </w:rPr>
        <w:t xml:space="preserve"> (in lijn met de oproep va</w:t>
      </w:r>
      <w:r w:rsidR="005370D9">
        <w:rPr>
          <w:sz w:val="13"/>
          <w:szCs w:val="13"/>
        </w:rPr>
        <w:t xml:space="preserve">n </w:t>
      </w:r>
      <w:r>
        <w:rPr>
          <w:sz w:val="13"/>
          <w:szCs w:val="13"/>
        </w:rPr>
        <w:t xml:space="preserve">de Secretaris-Generaal van de VN tijdens de </w:t>
      </w:r>
      <w:r w:rsidRPr="005370D9">
        <w:rPr>
          <w:i/>
          <w:sz w:val="13"/>
          <w:szCs w:val="13"/>
        </w:rPr>
        <w:t xml:space="preserve">World </w:t>
      </w:r>
      <w:proofErr w:type="spellStart"/>
      <w:r w:rsidRPr="005370D9">
        <w:rPr>
          <w:i/>
          <w:sz w:val="13"/>
          <w:szCs w:val="13"/>
        </w:rPr>
        <w:t>Humanitarian</w:t>
      </w:r>
      <w:proofErr w:type="spellEnd"/>
      <w:r w:rsidRPr="005370D9">
        <w:rPr>
          <w:i/>
          <w:sz w:val="13"/>
          <w:szCs w:val="13"/>
        </w:rPr>
        <w:t xml:space="preserve"> </w:t>
      </w:r>
      <w:proofErr w:type="spellStart"/>
      <w:r w:rsidRPr="005370D9">
        <w:rPr>
          <w:i/>
          <w:sz w:val="13"/>
          <w:szCs w:val="13"/>
        </w:rPr>
        <w:t>Summit</w:t>
      </w:r>
      <w:proofErr w:type="spellEnd"/>
      <w:r>
        <w:rPr>
          <w:sz w:val="13"/>
          <w:szCs w:val="13"/>
        </w:rPr>
        <w:t>)</w:t>
      </w:r>
      <w:r w:rsidRPr="00F80265">
        <w:rPr>
          <w:sz w:val="13"/>
          <w:szCs w:val="13"/>
        </w:rPr>
        <w:t xml:space="preserve">. </w:t>
      </w:r>
    </w:p>
  </w:footnote>
  <w:footnote w:id="5">
    <w:p w14:paraId="0D0FBD62" w14:textId="7903FD10" w:rsidR="003B3E90" w:rsidRPr="00FC79A4" w:rsidRDefault="003B3E90" w:rsidP="005370D9">
      <w:pPr>
        <w:pStyle w:val="FootnoteText"/>
        <w:spacing w:line="276" w:lineRule="auto"/>
      </w:pPr>
      <w:r>
        <w:rPr>
          <w:rStyle w:val="FootnoteReference"/>
        </w:rPr>
        <w:footnoteRef/>
      </w:r>
      <w:r>
        <w:t xml:space="preserve"> </w:t>
      </w:r>
      <w:proofErr w:type="spellStart"/>
      <w:r w:rsidRPr="00FC79A4">
        <w:rPr>
          <w:i/>
        </w:rPr>
        <w:t>Quadrennial</w:t>
      </w:r>
      <w:proofErr w:type="spellEnd"/>
      <w:r w:rsidRPr="00FC79A4">
        <w:rPr>
          <w:i/>
        </w:rPr>
        <w:t xml:space="preserve"> Comprehensive Policy Review</w:t>
      </w:r>
      <w:r w:rsidRPr="00FC79A4">
        <w:t>: mechanisme waarmee de Al</w:t>
      </w:r>
      <w:r w:rsidR="005370D9">
        <w:t xml:space="preserve">gemene Vergadering van de VN de </w:t>
      </w:r>
      <w:r w:rsidRPr="00FC79A4">
        <w:t>effectiviteit, effici</w:t>
      </w:r>
      <w:r>
        <w:t>ëntie, samenhang en impact van het VN-ontwikkelingssysteem beoogt te verbeteren.</w:t>
      </w:r>
    </w:p>
  </w:footnote>
  <w:footnote w:id="6">
    <w:p w14:paraId="495E03B2" w14:textId="23EC2054" w:rsidR="003B3E90" w:rsidRPr="00145A7D" w:rsidRDefault="003B3E90" w:rsidP="005370D9">
      <w:pPr>
        <w:pStyle w:val="FootnoteText"/>
        <w:spacing w:line="276" w:lineRule="auto"/>
      </w:pPr>
      <w:r>
        <w:rPr>
          <w:rStyle w:val="FootnoteReference"/>
        </w:rPr>
        <w:footnoteRef/>
      </w:r>
      <w:r>
        <w:t xml:space="preserve"> </w:t>
      </w:r>
      <w:r w:rsidRPr="00145A7D">
        <w:t xml:space="preserve">De </w:t>
      </w:r>
      <w:r w:rsidRPr="00AD6A8B">
        <w:rPr>
          <w:i/>
        </w:rPr>
        <w:t xml:space="preserve">Grand </w:t>
      </w:r>
      <w:proofErr w:type="spellStart"/>
      <w:r w:rsidRPr="00AD6A8B">
        <w:rPr>
          <w:i/>
        </w:rPr>
        <w:t>Bargain</w:t>
      </w:r>
      <w:proofErr w:type="spellEnd"/>
      <w:r w:rsidRPr="00145A7D">
        <w:t xml:space="preserve"> is een set van afspraken die door donoren en hulporganisaties is gemaakt tijdens de </w:t>
      </w:r>
      <w:r w:rsidR="005370D9">
        <w:rPr>
          <w:i/>
        </w:rPr>
        <w:t xml:space="preserve">World </w:t>
      </w:r>
      <w:proofErr w:type="spellStart"/>
      <w:r w:rsidRPr="00AD6A8B">
        <w:rPr>
          <w:i/>
        </w:rPr>
        <w:t>Humanitarian</w:t>
      </w:r>
      <w:proofErr w:type="spellEnd"/>
      <w:r w:rsidRPr="00AD6A8B">
        <w:rPr>
          <w:i/>
        </w:rPr>
        <w:t xml:space="preserve"> </w:t>
      </w:r>
      <w:proofErr w:type="spellStart"/>
      <w:r w:rsidRPr="00AD6A8B">
        <w:rPr>
          <w:i/>
        </w:rPr>
        <w:t>Summit</w:t>
      </w:r>
      <w:proofErr w:type="spellEnd"/>
      <w:r w:rsidRPr="00145A7D">
        <w:t xml:space="preserve"> in 2016. Deze afspraken zijn gericht op het verbeteren van de effectiviteit en efficiëntie van humanitaire hulpverlening.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B7CE" w14:textId="77777777" w:rsidR="003B3E90" w:rsidRPr="00785F18" w:rsidRDefault="003B3E90">
    <w:pPr>
      <w:pStyle w:val="Header"/>
    </w:pPr>
  </w:p>
  <w:p w14:paraId="3D10B7CF" w14:textId="77777777" w:rsidR="003B3E90" w:rsidRPr="00785F18" w:rsidRDefault="003B3E90"/>
  <w:p w14:paraId="3D10B7D0" w14:textId="77777777" w:rsidR="003B3E90" w:rsidRPr="00785F18" w:rsidRDefault="003B3E9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B7D1" w14:textId="77777777" w:rsidR="003B3E90" w:rsidRPr="00785F18" w:rsidRDefault="003B3E90"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3B3E90" w:rsidRPr="00194F38" w14:paraId="3D10B7D3" w14:textId="77777777" w:rsidTr="002E14E1">
      <w:trPr>
        <w:trHeight w:val="400"/>
      </w:trPr>
      <w:tc>
        <w:tcPr>
          <w:tcW w:w="7520" w:type="dxa"/>
          <w:shd w:val="clear" w:color="auto" w:fill="auto"/>
        </w:tcPr>
        <w:p w14:paraId="3D10B7D2" w14:textId="6C1B790C" w:rsidR="003B3E90" w:rsidRPr="00145A7D" w:rsidRDefault="003B3E90" w:rsidP="002E14E1">
          <w:pPr>
            <w:adjustRightInd w:val="0"/>
            <w:spacing w:line="180" w:lineRule="exact"/>
            <w:rPr>
              <w:sz w:val="13"/>
              <w:lang w:val="en-US"/>
            </w:rPr>
          </w:pPr>
          <w:r>
            <w:rPr>
              <w:rStyle w:val="Huisstijl-Koptekst"/>
            </w:rPr>
            <w:fldChar w:fldCharType="begin"/>
          </w:r>
          <w:r w:rsidRPr="00226DA5">
            <w:rPr>
              <w:rStyle w:val="Huisstijl-Koptekst"/>
              <w:lang w:val="en-US"/>
            </w:rPr>
            <w:instrText xml:space="preserve"> Titel </w:instrText>
          </w:r>
          <w:r>
            <w:rPr>
              <w:rStyle w:val="Huisstijl-Koptekst"/>
            </w:rPr>
            <w:fldChar w:fldCharType="separate"/>
          </w:r>
          <w:r w:rsidRPr="00226DA5">
            <w:rPr>
              <w:lang w:val="en-US"/>
            </w:rPr>
            <w:t>Scorecard</w:t>
          </w:r>
          <w:r>
            <w:rPr>
              <w:rStyle w:val="Huisstijl-Koptekst"/>
            </w:rPr>
            <w:fldChar w:fldCharType="end"/>
          </w:r>
          <w:r w:rsidRPr="008517DE">
            <w:rPr>
              <w:rStyle w:val="Huisstijl-Koptekst"/>
              <w:lang w:val="en-GB"/>
            </w:rPr>
            <w:t xml:space="preserve"> | </w:t>
          </w:r>
          <w:r w:rsidRPr="00145A7D">
            <w:rPr>
              <w:rStyle w:val="Huisstijl-Koptekst"/>
              <w:lang w:val="en-US"/>
            </w:rPr>
            <w:t>Office for the C</w:t>
          </w:r>
          <w:r>
            <w:rPr>
              <w:rStyle w:val="Huisstijl-Koptekst"/>
              <w:lang w:val="en-US"/>
            </w:rPr>
            <w:t>oordination of Humanitarian Affairs</w:t>
          </w:r>
        </w:p>
      </w:tc>
    </w:tr>
  </w:tbl>
  <w:p w14:paraId="3D10B7D4" w14:textId="77777777" w:rsidR="003B3E90" w:rsidRPr="008517DE" w:rsidRDefault="003B3E90" w:rsidP="000D7BB7">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B7E0" w14:textId="227815FB" w:rsidR="003B3E90" w:rsidRPr="00785F18" w:rsidRDefault="003B3E90" w:rsidP="006E263E">
    <w:r>
      <w:rPr>
        <w:noProof/>
      </w:rPr>
      <mc:AlternateContent>
        <mc:Choice Requires="wps">
          <w:drawing>
            <wp:anchor distT="0" distB="0" distL="114300" distR="114300" simplePos="0" relativeHeight="251658240" behindDoc="0" locked="0" layoutInCell="1" allowOverlap="1" wp14:anchorId="3D10B7F9" wp14:editId="5E9558AF">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3B3E90" w14:paraId="3D10B80D" w14:textId="77777777">
                            <w:trPr>
                              <w:trHeight w:val="2636"/>
                            </w:trPr>
                            <w:tc>
                              <w:tcPr>
                                <w:tcW w:w="737" w:type="dxa"/>
                                <w:shd w:val="clear" w:color="auto" w:fill="auto"/>
                              </w:tcPr>
                              <w:p w14:paraId="3D10B80B" w14:textId="77777777" w:rsidR="003B3E90" w:rsidRDefault="003B3E90" w:rsidP="006E263E">
                                <w:pPr>
                                  <w:spacing w:line="240" w:lineRule="auto"/>
                                </w:pPr>
                                <w:bookmarkStart w:id="4" w:name="bm_BZlogo"/>
                                <w:bookmarkEnd w:id="4"/>
                                <w:r>
                                  <w:rPr>
                                    <w:noProof/>
                                  </w:rPr>
                                  <w:drawing>
                                    <wp:inline distT="0" distB="0" distL="0" distR="0" wp14:anchorId="3D10B80F" wp14:editId="3D10B810">
                                      <wp:extent cx="468630" cy="1585595"/>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1585595"/>
                                              </a:xfrm>
                                              <a:prstGeom prst="rect">
                                                <a:avLst/>
                                              </a:prstGeom>
                                              <a:noFill/>
                                              <a:ln>
                                                <a:noFill/>
                                              </a:ln>
                                            </pic:spPr>
                                          </pic:pic>
                                        </a:graphicData>
                                      </a:graphic>
                                    </wp:inline>
                                  </w:drawing>
                                </w:r>
                              </w:p>
                            </w:tc>
                            <w:tc>
                              <w:tcPr>
                                <w:tcW w:w="5383" w:type="dxa"/>
                                <w:shd w:val="clear" w:color="auto" w:fill="auto"/>
                              </w:tcPr>
                              <w:p w14:paraId="3D10B80C" w14:textId="77777777" w:rsidR="003B3E90" w:rsidRDefault="003B3E90" w:rsidP="006E263E">
                                <w:pPr>
                                  <w:spacing w:line="240" w:lineRule="auto"/>
                                </w:pPr>
                                <w:r>
                                  <w:rPr>
                                    <w:noProof/>
                                  </w:rPr>
                                  <w:drawing>
                                    <wp:inline distT="0" distB="0" distL="0" distR="0" wp14:anchorId="3D10B811" wp14:editId="3D10B812">
                                      <wp:extent cx="2442210" cy="1655445"/>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2210" cy="1655445"/>
                                              </a:xfrm>
                                              <a:prstGeom prst="rect">
                                                <a:avLst/>
                                              </a:prstGeom>
                                              <a:noFill/>
                                              <a:ln>
                                                <a:noFill/>
                                              </a:ln>
                                            </pic:spPr>
                                          </pic:pic>
                                        </a:graphicData>
                                      </a:graphic>
                                    </wp:inline>
                                  </w:drawing>
                                </w:r>
                              </w:p>
                            </w:tc>
                          </w:tr>
                        </w:tbl>
                        <w:p w14:paraId="3D10B80E" w14:textId="77777777" w:rsidR="003B3E90" w:rsidRDefault="003B3E90"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0B7F9"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3B3E90" w14:paraId="3D10B80D" w14:textId="77777777">
                      <w:trPr>
                        <w:trHeight w:val="2636"/>
                      </w:trPr>
                      <w:tc>
                        <w:tcPr>
                          <w:tcW w:w="737" w:type="dxa"/>
                          <w:shd w:val="clear" w:color="auto" w:fill="auto"/>
                        </w:tcPr>
                        <w:p w14:paraId="3D10B80B" w14:textId="77777777" w:rsidR="003B3E90" w:rsidRDefault="003B3E90" w:rsidP="006E263E">
                          <w:pPr>
                            <w:spacing w:line="240" w:lineRule="auto"/>
                          </w:pPr>
                          <w:bookmarkStart w:id="5" w:name="bm_BZlogo"/>
                          <w:bookmarkEnd w:id="5"/>
                          <w:r>
                            <w:rPr>
                              <w:noProof/>
                            </w:rPr>
                            <w:drawing>
                              <wp:inline distT="0" distB="0" distL="0" distR="0" wp14:anchorId="3D10B80F" wp14:editId="3D10B810">
                                <wp:extent cx="468630" cy="1585595"/>
                                <wp:effectExtent l="0" t="0" r="0"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1585595"/>
                                        </a:xfrm>
                                        <a:prstGeom prst="rect">
                                          <a:avLst/>
                                        </a:prstGeom>
                                        <a:noFill/>
                                        <a:ln>
                                          <a:noFill/>
                                        </a:ln>
                                      </pic:spPr>
                                    </pic:pic>
                                  </a:graphicData>
                                </a:graphic>
                              </wp:inline>
                            </w:drawing>
                          </w:r>
                        </w:p>
                      </w:tc>
                      <w:tc>
                        <w:tcPr>
                          <w:tcW w:w="5383" w:type="dxa"/>
                          <w:shd w:val="clear" w:color="auto" w:fill="auto"/>
                        </w:tcPr>
                        <w:p w14:paraId="3D10B80C" w14:textId="77777777" w:rsidR="003B3E90" w:rsidRDefault="003B3E90" w:rsidP="006E263E">
                          <w:pPr>
                            <w:spacing w:line="240" w:lineRule="auto"/>
                          </w:pPr>
                          <w:r>
                            <w:rPr>
                              <w:noProof/>
                            </w:rPr>
                            <w:drawing>
                              <wp:inline distT="0" distB="0" distL="0" distR="0" wp14:anchorId="3D10B811" wp14:editId="3D10B812">
                                <wp:extent cx="2442210" cy="1655445"/>
                                <wp:effectExtent l="0" t="0" r="0"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2210" cy="1655445"/>
                                        </a:xfrm>
                                        <a:prstGeom prst="rect">
                                          <a:avLst/>
                                        </a:prstGeom>
                                        <a:noFill/>
                                        <a:ln>
                                          <a:noFill/>
                                        </a:ln>
                                      </pic:spPr>
                                    </pic:pic>
                                  </a:graphicData>
                                </a:graphic>
                              </wp:inline>
                            </w:drawing>
                          </w:r>
                        </w:p>
                      </w:tc>
                    </w:tr>
                  </w:tbl>
                  <w:p w14:paraId="3D10B80E" w14:textId="77777777" w:rsidR="003B3E90" w:rsidRDefault="003B3E90"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3B3E90" w:rsidRPr="00785F18" w14:paraId="3D10B7E2" w14:textId="77777777" w:rsidTr="000A01F6">
      <w:trPr>
        <w:cantSplit/>
        <w:trHeight w:hRule="exact" w:val="3340"/>
      </w:trPr>
      <w:tc>
        <w:tcPr>
          <w:tcW w:w="5640" w:type="dxa"/>
          <w:shd w:val="clear" w:color="auto" w:fill="auto"/>
        </w:tcPr>
        <w:p w14:paraId="3D10B7E1" w14:textId="77777777" w:rsidR="003B3E90" w:rsidRPr="00785F18" w:rsidRDefault="003B3E90" w:rsidP="00094B45">
          <w:pPr>
            <w:ind w:left="240" w:hanging="240"/>
          </w:pPr>
        </w:p>
      </w:tc>
    </w:tr>
    <w:tr w:rsidR="003B3E90" w:rsidRPr="00194F38" w14:paraId="3D10B7E8" w14:textId="77777777" w:rsidTr="007B0280">
      <w:trPr>
        <w:cantSplit/>
        <w:trHeight w:hRule="exact" w:val="1440"/>
      </w:trPr>
      <w:tc>
        <w:tcPr>
          <w:tcW w:w="5640" w:type="dxa"/>
          <w:shd w:val="clear" w:color="auto" w:fill="auto"/>
        </w:tcPr>
        <w:p w14:paraId="3D10B7E3" w14:textId="77777777" w:rsidR="003B3E90" w:rsidRPr="00785F18" w:rsidRDefault="003B3E90" w:rsidP="000C0FB6">
          <w:pPr>
            <w:rPr>
              <w:rStyle w:val="Huisstijl-Rubricering"/>
              <w:smallCaps w:val="0"/>
            </w:rPr>
          </w:pPr>
        </w:p>
        <w:p w14:paraId="3D10B7E4" w14:textId="77777777" w:rsidR="003B3E90" w:rsidRPr="00785F18" w:rsidRDefault="003B3E90" w:rsidP="000C0FB6">
          <w:pPr>
            <w:spacing w:line="180" w:lineRule="atLeast"/>
            <w:rPr>
              <w:rStyle w:val="Huisstijl-Rubricering"/>
              <w:smallCaps w:val="0"/>
            </w:rPr>
          </w:pPr>
        </w:p>
        <w:p w14:paraId="3D10B7E5" w14:textId="2F52405A" w:rsidR="003B3E90" w:rsidRPr="00D90214" w:rsidRDefault="003B3E90" w:rsidP="00B36546">
          <w:pPr>
            <w:pStyle w:val="Title"/>
            <w:rPr>
              <w:lang w:val="en-US"/>
            </w:rPr>
          </w:pPr>
          <w:bookmarkStart w:id="6" w:name="titel"/>
          <w:r w:rsidRPr="00D90214">
            <w:rPr>
              <w:lang w:val="en-US"/>
            </w:rPr>
            <w:t>Scorecard</w:t>
          </w:r>
          <w:bookmarkEnd w:id="6"/>
          <w:r w:rsidRPr="00D90214">
            <w:rPr>
              <w:lang w:val="en-US"/>
            </w:rPr>
            <w:t xml:space="preserve">  </w:t>
          </w:r>
          <w:bookmarkStart w:id="7" w:name="subtitel"/>
          <w:r w:rsidRPr="00D90214">
            <w:rPr>
              <w:lang w:val="en-US"/>
            </w:rPr>
            <w:t xml:space="preserve"> </w:t>
          </w:r>
          <w:r w:rsidRPr="00D90214">
            <w:rPr>
              <w:rStyle w:val="SubtitleChar"/>
              <w:lang w:val="en-US"/>
            </w:rPr>
            <w:t>O</w:t>
          </w:r>
          <w:bookmarkEnd w:id="7"/>
          <w:r w:rsidRPr="00D90214">
            <w:rPr>
              <w:rStyle w:val="SubtitleChar"/>
              <w:lang w:val="en-US"/>
            </w:rPr>
            <w:t>ffice for the Coordination of Humanitarian Affairs</w:t>
          </w:r>
          <w:r>
            <w:rPr>
              <w:rStyle w:val="SubtitleChar"/>
              <w:lang w:val="en-US"/>
            </w:rPr>
            <w:t xml:space="preserve"> </w:t>
          </w:r>
        </w:p>
        <w:p w14:paraId="3D10B7E6" w14:textId="77777777" w:rsidR="003B3E90" w:rsidRPr="00B36546" w:rsidRDefault="003B3E90" w:rsidP="00B36546">
          <w:pPr>
            <w:rPr>
              <w:lang w:val="en-GB"/>
            </w:rPr>
          </w:pPr>
        </w:p>
        <w:p w14:paraId="3D10B7E7" w14:textId="77777777" w:rsidR="003B3E90" w:rsidRPr="00B36546" w:rsidRDefault="003B3E90" w:rsidP="00B36546">
          <w:pPr>
            <w:tabs>
              <w:tab w:val="left" w:pos="3281"/>
            </w:tabs>
            <w:rPr>
              <w:lang w:val="en-GB"/>
            </w:rPr>
          </w:pPr>
          <w:r w:rsidRPr="00B36546">
            <w:rPr>
              <w:lang w:val="en-GB"/>
            </w:rPr>
            <w:tab/>
          </w:r>
        </w:p>
      </w:tc>
    </w:tr>
    <w:tr w:rsidR="003B3E90" w:rsidRPr="00194F38" w14:paraId="3D10B7EA" w14:textId="77777777" w:rsidTr="000A01F6">
      <w:trPr>
        <w:cantSplit/>
        <w:trHeight w:hRule="exact" w:val="240"/>
      </w:trPr>
      <w:tc>
        <w:tcPr>
          <w:tcW w:w="5640" w:type="dxa"/>
          <w:shd w:val="clear" w:color="auto" w:fill="auto"/>
        </w:tcPr>
        <w:p w14:paraId="3D10B7E9" w14:textId="77777777" w:rsidR="003B3E90" w:rsidRPr="00B36546" w:rsidRDefault="003B3E90" w:rsidP="00B60860">
          <w:pPr>
            <w:rPr>
              <w:lang w:val="en-GB"/>
            </w:rPr>
          </w:pPr>
        </w:p>
      </w:tc>
    </w:tr>
    <w:tr w:rsidR="003B3E90" w:rsidRPr="00194F38" w14:paraId="3D10B7EC" w14:textId="77777777" w:rsidTr="000A01F6">
      <w:trPr>
        <w:cantSplit/>
        <w:trHeight w:hRule="exact" w:val="480"/>
      </w:trPr>
      <w:tc>
        <w:tcPr>
          <w:tcW w:w="5640" w:type="dxa"/>
          <w:shd w:val="clear" w:color="auto" w:fill="auto"/>
        </w:tcPr>
        <w:p w14:paraId="3D10B7EB" w14:textId="77777777" w:rsidR="003B3E90" w:rsidRPr="00B36546" w:rsidRDefault="003B3E90" w:rsidP="00EF0ED5">
          <w:pPr>
            <w:rPr>
              <w:lang w:val="en-GB"/>
            </w:rPr>
          </w:pPr>
        </w:p>
      </w:tc>
    </w:tr>
  </w:tbl>
  <w:p w14:paraId="3D10B7ED" w14:textId="695EC67E" w:rsidR="003B3E90" w:rsidRPr="00B36546" w:rsidRDefault="003B3E90">
    <w:pPr>
      <w:rPr>
        <w:lang w:val="en-GB"/>
      </w:rPr>
    </w:pPr>
    <w:r>
      <w:rPr>
        <w:lang w:val="en-GB"/>
      </w:rPr>
      <w:t>Datum</w:t>
    </w:r>
    <w:r>
      <w:rPr>
        <w:lang w:val="en-GB"/>
      </w:rPr>
      <w:tab/>
    </w:r>
    <w:r>
      <w:rPr>
        <w:lang w:val="en-GB"/>
      </w:rPr>
      <w:tab/>
    </w:r>
    <w:r>
      <w:rPr>
        <w:lang w:val="en-GB"/>
      </w:rPr>
      <w:tab/>
    </w:r>
    <w:r>
      <w:rPr>
        <w:lang w:val="en-GB"/>
      </w:rPr>
      <w:tab/>
    </w:r>
    <w:r>
      <w:rPr>
        <w:lang w:val="en-GB"/>
      </w:rPr>
      <w:tab/>
    </w:r>
    <w:r w:rsidR="005370D9">
      <w:rPr>
        <w:lang w:val="en-GB"/>
      </w:rPr>
      <w:tab/>
    </w:r>
    <w:r w:rsidR="005370D9">
      <w:rPr>
        <w:lang w:val="en-GB"/>
      </w:rPr>
      <w:tab/>
    </w:r>
    <w:r w:rsidR="005370D9">
      <w:rPr>
        <w:lang w:val="en-GB"/>
      </w:rPr>
      <w:tab/>
      <w:t xml:space="preserve">15 </w:t>
    </w:r>
    <w:proofErr w:type="spellStart"/>
    <w:r w:rsidR="005370D9">
      <w:rPr>
        <w:lang w:val="en-GB"/>
      </w:rPr>
      <w:t>augustus</w:t>
    </w:r>
    <w:proofErr w:type="spellEnd"/>
    <w:r>
      <w:rPr>
        <w:lang w:val="en-GB"/>
      </w:rPr>
      <w:t xml:space="preserve"> 2017</w:t>
    </w:r>
  </w:p>
  <w:p w14:paraId="3D10B7EE" w14:textId="77777777" w:rsidR="003B3E90" w:rsidRPr="00B36546" w:rsidRDefault="003B3E90">
    <w:pPr>
      <w:rPr>
        <w:lang w:val="en-GB"/>
      </w:rPr>
    </w:pPr>
  </w:p>
  <w:p w14:paraId="3D10B7EF" w14:textId="77777777" w:rsidR="003B3E90" w:rsidRPr="00785F18" w:rsidRDefault="003B3E90" w:rsidP="0006027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B7F5" w14:textId="77777777" w:rsidR="003B3E90" w:rsidRPr="00785F18" w:rsidRDefault="003B3E90"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3B3E90" w:rsidRPr="008517DE" w14:paraId="3D10B7F7" w14:textId="77777777" w:rsidTr="00B06D4B">
      <w:trPr>
        <w:trHeight w:val="400"/>
      </w:trPr>
      <w:tc>
        <w:tcPr>
          <w:tcW w:w="7520" w:type="dxa"/>
          <w:shd w:val="clear" w:color="auto" w:fill="auto"/>
        </w:tcPr>
        <w:p w14:paraId="3D10B7F6" w14:textId="77777777" w:rsidR="003B3E90" w:rsidRPr="008517DE" w:rsidRDefault="00AC00D2" w:rsidP="00B06D4B">
          <w:pPr>
            <w:adjustRightInd w:val="0"/>
            <w:spacing w:line="180" w:lineRule="exact"/>
            <w:rPr>
              <w:sz w:val="13"/>
              <w:lang w:val="en-GB"/>
            </w:rPr>
          </w:pPr>
          <w:fldSimple w:instr=" REF  titel  \* MERGEFORMAT ">
            <w:r w:rsidR="003B3E90" w:rsidRPr="00D94DB4">
              <w:rPr>
                <w:rStyle w:val="Huisstijl-Koptekst"/>
                <w:sz w:val="18"/>
                <w:szCs w:val="18"/>
                <w:lang w:val="en-GB"/>
              </w:rPr>
              <w:t>Scorecard</w:t>
            </w:r>
          </w:fldSimple>
          <w:r w:rsidR="003B3E90" w:rsidRPr="007B163C">
            <w:rPr>
              <w:rStyle w:val="Huisstijl-Koptekst"/>
              <w:lang w:val="en-GB"/>
            </w:rPr>
            <w:t xml:space="preserve"> | </w:t>
          </w:r>
          <w:proofErr w:type="spellStart"/>
          <w:r w:rsidR="003B3E90">
            <w:rPr>
              <w:rStyle w:val="Huisstijl-Koptekst"/>
              <w:lang w:val="en-GB"/>
            </w:rPr>
            <w:t>Organisatie</w:t>
          </w:r>
          <w:proofErr w:type="spellEnd"/>
          <w:r w:rsidR="003B3E90" w:rsidRPr="008517DE">
            <w:rPr>
              <w:sz w:val="13"/>
              <w:lang w:val="en-GB"/>
            </w:rPr>
            <w:t xml:space="preserve"> </w:t>
          </w:r>
        </w:p>
      </w:tc>
    </w:tr>
  </w:tbl>
  <w:p w14:paraId="3D10B7F8" w14:textId="77777777" w:rsidR="003B3E90" w:rsidRPr="008517DE" w:rsidRDefault="003B3E90"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0254B09"/>
    <w:multiLevelType w:val="hybridMultilevel"/>
    <w:tmpl w:val="9D5E9A1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3BB5F57"/>
    <w:multiLevelType w:val="multilevel"/>
    <w:tmpl w:val="5AEEDE88"/>
    <w:numStyleLink w:val="StyleBulleted"/>
  </w:abstractNum>
  <w:abstractNum w:abstractNumId="3"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4"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15:restartNumberingAfterBreak="0">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3655D"/>
    <w:multiLevelType w:val="multilevel"/>
    <w:tmpl w:val="5AEEDE88"/>
    <w:numStyleLink w:val="StyleBulleted"/>
  </w:abstractNum>
  <w:abstractNum w:abstractNumId="9"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5A20BC"/>
    <w:multiLevelType w:val="multilevel"/>
    <w:tmpl w:val="5AEEDE88"/>
    <w:numStyleLink w:val="StyleBulleted"/>
  </w:abstractNum>
  <w:abstractNum w:abstractNumId="11"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9" w15:restartNumberingAfterBreak="0">
    <w:nsid w:val="36510D3A"/>
    <w:multiLevelType w:val="hybridMultilevel"/>
    <w:tmpl w:val="4606CB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4" w15:restartNumberingAfterBreak="0">
    <w:nsid w:val="3E661416"/>
    <w:multiLevelType w:val="hybridMultilevel"/>
    <w:tmpl w:val="A4920262"/>
    <w:lvl w:ilvl="0" w:tplc="5EEE5C8A">
      <w:numFmt w:val="bullet"/>
      <w:lvlText w:val="-"/>
      <w:lvlJc w:val="left"/>
      <w:pPr>
        <w:ind w:left="587" w:hanging="360"/>
      </w:pPr>
      <w:rPr>
        <w:rFonts w:ascii="Verdana" w:eastAsia="Times New Roman" w:hAnsi="Verdana" w:cs="Verdana" w:hint="default"/>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25" w15:restartNumberingAfterBreak="0">
    <w:nsid w:val="408335F4"/>
    <w:multiLevelType w:val="multilevel"/>
    <w:tmpl w:val="5AEEDE88"/>
    <w:numStyleLink w:val="StyleBulleted"/>
  </w:abstractNum>
  <w:abstractNum w:abstractNumId="26"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7"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D463BF"/>
    <w:multiLevelType w:val="hybridMultilevel"/>
    <w:tmpl w:val="E1D064E8"/>
    <w:lvl w:ilvl="0" w:tplc="5EEE5C8A">
      <w:numFmt w:val="bullet"/>
      <w:lvlText w:val="-"/>
      <w:lvlJc w:val="left"/>
      <w:pPr>
        <w:ind w:left="587" w:hanging="360"/>
      </w:pPr>
      <w:rPr>
        <w:rFonts w:ascii="Verdana" w:eastAsia="Times New Roman"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D750EE7"/>
    <w:multiLevelType w:val="multilevel"/>
    <w:tmpl w:val="5AEEDE88"/>
    <w:numStyleLink w:val="StyleBulleted"/>
  </w:abstractNum>
  <w:abstractNum w:abstractNumId="31"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2"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3" w15:restartNumberingAfterBreak="0">
    <w:nsid w:val="63A20AAC"/>
    <w:multiLevelType w:val="multilevel"/>
    <w:tmpl w:val="5AEEDE88"/>
    <w:numStyleLink w:val="StyleBulleted"/>
  </w:abstractNum>
  <w:abstractNum w:abstractNumId="34"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5"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6" w15:restartNumberingAfterBreak="0">
    <w:nsid w:val="6D193965"/>
    <w:multiLevelType w:val="multilevel"/>
    <w:tmpl w:val="5AEEDE88"/>
    <w:numStyleLink w:val="StyleBulleted"/>
  </w:abstractNum>
  <w:abstractNum w:abstractNumId="37" w15:restartNumberingAfterBreak="0">
    <w:nsid w:val="6F1B2CBC"/>
    <w:multiLevelType w:val="multilevel"/>
    <w:tmpl w:val="5AEEDE88"/>
    <w:numStyleLink w:val="StyleBulleted"/>
  </w:abstractNum>
  <w:abstractNum w:abstractNumId="38"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0"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1"/>
  </w:num>
  <w:num w:numId="2">
    <w:abstractNumId w:val="34"/>
  </w:num>
  <w:num w:numId="3">
    <w:abstractNumId w:val="23"/>
  </w:num>
  <w:num w:numId="4">
    <w:abstractNumId w:val="0"/>
  </w:num>
  <w:num w:numId="5">
    <w:abstractNumId w:val="35"/>
  </w:num>
  <w:num w:numId="6">
    <w:abstractNumId w:val="3"/>
  </w:num>
  <w:num w:numId="7">
    <w:abstractNumId w:val="13"/>
  </w:num>
  <w:num w:numId="8">
    <w:abstractNumId w:val="37"/>
  </w:num>
  <w:num w:numId="9">
    <w:abstractNumId w:val="33"/>
  </w:num>
  <w:num w:numId="10">
    <w:abstractNumId w:val="15"/>
  </w:num>
  <w:num w:numId="11">
    <w:abstractNumId w:val="8"/>
  </w:num>
  <w:num w:numId="12">
    <w:abstractNumId w:val="36"/>
  </w:num>
  <w:num w:numId="13">
    <w:abstractNumId w:val="20"/>
  </w:num>
  <w:num w:numId="14">
    <w:abstractNumId w:val="2"/>
  </w:num>
  <w:num w:numId="15">
    <w:abstractNumId w:val="10"/>
  </w:num>
  <w:num w:numId="16">
    <w:abstractNumId w:val="32"/>
  </w:num>
  <w:num w:numId="17">
    <w:abstractNumId w:val="25"/>
  </w:num>
  <w:num w:numId="18">
    <w:abstractNumId w:val="30"/>
  </w:num>
  <w:num w:numId="19">
    <w:abstractNumId w:val="18"/>
  </w:num>
  <w:num w:numId="20">
    <w:abstractNumId w:val="39"/>
  </w:num>
  <w:num w:numId="21">
    <w:abstractNumId w:val="6"/>
  </w:num>
  <w:num w:numId="22">
    <w:abstractNumId w:val="26"/>
  </w:num>
  <w:num w:numId="23">
    <w:abstractNumId w:val="40"/>
  </w:num>
  <w:num w:numId="24">
    <w:abstractNumId w:val="16"/>
  </w:num>
  <w:num w:numId="25">
    <w:abstractNumId w:val="16"/>
  </w:num>
  <w:num w:numId="26">
    <w:abstractNumId w:val="12"/>
  </w:num>
  <w:num w:numId="27">
    <w:abstractNumId w:val="11"/>
  </w:num>
  <w:num w:numId="28">
    <w:abstractNumId w:val="9"/>
  </w:num>
  <w:num w:numId="29">
    <w:abstractNumId w:val="7"/>
  </w:num>
  <w:num w:numId="30">
    <w:abstractNumId w:val="4"/>
  </w:num>
  <w:num w:numId="31">
    <w:abstractNumId w:val="22"/>
  </w:num>
  <w:num w:numId="32">
    <w:abstractNumId w:val="21"/>
  </w:num>
  <w:num w:numId="33">
    <w:abstractNumId w:val="17"/>
  </w:num>
  <w:num w:numId="34">
    <w:abstractNumId w:val="41"/>
  </w:num>
  <w:num w:numId="35">
    <w:abstractNumId w:val="5"/>
  </w:num>
  <w:num w:numId="36">
    <w:abstractNumId w:val="28"/>
  </w:num>
  <w:num w:numId="37">
    <w:abstractNumId w:val="38"/>
  </w:num>
  <w:num w:numId="38">
    <w:abstractNumId w:val="14"/>
  </w:num>
  <w:num w:numId="39">
    <w:abstractNumId w:val="27"/>
  </w:num>
  <w:num w:numId="40">
    <w:abstractNumId w:val="19"/>
  </w:num>
  <w:num w:numId="41">
    <w:abstractNumId w:val="24"/>
  </w:num>
  <w:num w:numId="42">
    <w:abstractNumId w:val="29"/>
  </w:num>
  <w:num w:numId="4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6860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111A"/>
    <w:rsid w:val="0000367D"/>
    <w:rsid w:val="0000392E"/>
    <w:rsid w:val="00003A32"/>
    <w:rsid w:val="00005884"/>
    <w:rsid w:val="0000619E"/>
    <w:rsid w:val="00006E47"/>
    <w:rsid w:val="0001095C"/>
    <w:rsid w:val="000114F8"/>
    <w:rsid w:val="0001310F"/>
    <w:rsid w:val="00013196"/>
    <w:rsid w:val="00016C57"/>
    <w:rsid w:val="00020189"/>
    <w:rsid w:val="00020EE4"/>
    <w:rsid w:val="000227EB"/>
    <w:rsid w:val="0002285D"/>
    <w:rsid w:val="000234D6"/>
    <w:rsid w:val="00025918"/>
    <w:rsid w:val="0002628D"/>
    <w:rsid w:val="00026447"/>
    <w:rsid w:val="0002695C"/>
    <w:rsid w:val="000304C1"/>
    <w:rsid w:val="00031268"/>
    <w:rsid w:val="00032C0E"/>
    <w:rsid w:val="00033419"/>
    <w:rsid w:val="00033426"/>
    <w:rsid w:val="00033950"/>
    <w:rsid w:val="00033E8D"/>
    <w:rsid w:val="0003476E"/>
    <w:rsid w:val="00034A84"/>
    <w:rsid w:val="00035D9C"/>
    <w:rsid w:val="00035E67"/>
    <w:rsid w:val="0004192F"/>
    <w:rsid w:val="000422E7"/>
    <w:rsid w:val="00044809"/>
    <w:rsid w:val="00045A1C"/>
    <w:rsid w:val="00045A4F"/>
    <w:rsid w:val="00046866"/>
    <w:rsid w:val="00046F4E"/>
    <w:rsid w:val="00047318"/>
    <w:rsid w:val="0005061F"/>
    <w:rsid w:val="00050ABD"/>
    <w:rsid w:val="00050B6A"/>
    <w:rsid w:val="00051416"/>
    <w:rsid w:val="00051878"/>
    <w:rsid w:val="00053739"/>
    <w:rsid w:val="000559DE"/>
    <w:rsid w:val="0005656E"/>
    <w:rsid w:val="00057B03"/>
    <w:rsid w:val="0006027D"/>
    <w:rsid w:val="000605A3"/>
    <w:rsid w:val="00061A91"/>
    <w:rsid w:val="00062992"/>
    <w:rsid w:val="000656D1"/>
    <w:rsid w:val="00066F2B"/>
    <w:rsid w:val="0006700B"/>
    <w:rsid w:val="000705D1"/>
    <w:rsid w:val="00071F28"/>
    <w:rsid w:val="00072371"/>
    <w:rsid w:val="00076FCC"/>
    <w:rsid w:val="00077900"/>
    <w:rsid w:val="00080668"/>
    <w:rsid w:val="00080AE8"/>
    <w:rsid w:val="00081825"/>
    <w:rsid w:val="00081DD4"/>
    <w:rsid w:val="0008255C"/>
    <w:rsid w:val="00082BB1"/>
    <w:rsid w:val="00082EE9"/>
    <w:rsid w:val="000842B5"/>
    <w:rsid w:val="000842F4"/>
    <w:rsid w:val="00085F22"/>
    <w:rsid w:val="0008640E"/>
    <w:rsid w:val="00086D83"/>
    <w:rsid w:val="0008784B"/>
    <w:rsid w:val="00087A6E"/>
    <w:rsid w:val="00087FA0"/>
    <w:rsid w:val="000903DE"/>
    <w:rsid w:val="00090808"/>
    <w:rsid w:val="0009114D"/>
    <w:rsid w:val="000912C6"/>
    <w:rsid w:val="000924C1"/>
    <w:rsid w:val="00093522"/>
    <w:rsid w:val="00094518"/>
    <w:rsid w:val="0009460C"/>
    <w:rsid w:val="00094A14"/>
    <w:rsid w:val="00094B45"/>
    <w:rsid w:val="00096680"/>
    <w:rsid w:val="00097B3F"/>
    <w:rsid w:val="000A01F6"/>
    <w:rsid w:val="000A0BB1"/>
    <w:rsid w:val="000A200D"/>
    <w:rsid w:val="000A22CF"/>
    <w:rsid w:val="000A27FF"/>
    <w:rsid w:val="000A2DF7"/>
    <w:rsid w:val="000A381C"/>
    <w:rsid w:val="000A3AF6"/>
    <w:rsid w:val="000A7F5E"/>
    <w:rsid w:val="000B2A0F"/>
    <w:rsid w:val="000B477F"/>
    <w:rsid w:val="000B64F8"/>
    <w:rsid w:val="000B7281"/>
    <w:rsid w:val="000B73BA"/>
    <w:rsid w:val="000B7A06"/>
    <w:rsid w:val="000B7B9B"/>
    <w:rsid w:val="000C05BF"/>
    <w:rsid w:val="000C0757"/>
    <w:rsid w:val="000C07A1"/>
    <w:rsid w:val="000C082E"/>
    <w:rsid w:val="000C0FB6"/>
    <w:rsid w:val="000C3F40"/>
    <w:rsid w:val="000C43A2"/>
    <w:rsid w:val="000C4679"/>
    <w:rsid w:val="000C521E"/>
    <w:rsid w:val="000C575D"/>
    <w:rsid w:val="000C5810"/>
    <w:rsid w:val="000C5E4F"/>
    <w:rsid w:val="000C6EED"/>
    <w:rsid w:val="000D1868"/>
    <w:rsid w:val="000D2C16"/>
    <w:rsid w:val="000D3986"/>
    <w:rsid w:val="000D5ED2"/>
    <w:rsid w:val="000D7BB7"/>
    <w:rsid w:val="000E15AA"/>
    <w:rsid w:val="000E21AD"/>
    <w:rsid w:val="000F03D7"/>
    <w:rsid w:val="000F1533"/>
    <w:rsid w:val="000F1A72"/>
    <w:rsid w:val="000F2632"/>
    <w:rsid w:val="000F46A7"/>
    <w:rsid w:val="000F4B53"/>
    <w:rsid w:val="000F53BE"/>
    <w:rsid w:val="000F6168"/>
    <w:rsid w:val="00101F98"/>
    <w:rsid w:val="00102DFB"/>
    <w:rsid w:val="001031E7"/>
    <w:rsid w:val="0010423D"/>
    <w:rsid w:val="00104517"/>
    <w:rsid w:val="001069BA"/>
    <w:rsid w:val="00107EB4"/>
    <w:rsid w:val="00116E2A"/>
    <w:rsid w:val="00120B9A"/>
    <w:rsid w:val="001210BF"/>
    <w:rsid w:val="00121AD6"/>
    <w:rsid w:val="0012275C"/>
    <w:rsid w:val="001227FB"/>
    <w:rsid w:val="00122BDB"/>
    <w:rsid w:val="00123082"/>
    <w:rsid w:val="00123704"/>
    <w:rsid w:val="00124B64"/>
    <w:rsid w:val="00125028"/>
    <w:rsid w:val="00125154"/>
    <w:rsid w:val="00125A07"/>
    <w:rsid w:val="001270C7"/>
    <w:rsid w:val="00130DA2"/>
    <w:rsid w:val="00131D1F"/>
    <w:rsid w:val="001349D8"/>
    <w:rsid w:val="00134D07"/>
    <w:rsid w:val="00135489"/>
    <w:rsid w:val="001354E8"/>
    <w:rsid w:val="00136130"/>
    <w:rsid w:val="00136258"/>
    <w:rsid w:val="00136D94"/>
    <w:rsid w:val="0014038C"/>
    <w:rsid w:val="0014161D"/>
    <w:rsid w:val="00142259"/>
    <w:rsid w:val="00142628"/>
    <w:rsid w:val="00142859"/>
    <w:rsid w:val="001429A1"/>
    <w:rsid w:val="00142BCD"/>
    <w:rsid w:val="00144379"/>
    <w:rsid w:val="00145A7D"/>
    <w:rsid w:val="00147716"/>
    <w:rsid w:val="0014786A"/>
    <w:rsid w:val="0015109B"/>
    <w:rsid w:val="001516A4"/>
    <w:rsid w:val="00154AD8"/>
    <w:rsid w:val="001566A9"/>
    <w:rsid w:val="00156F68"/>
    <w:rsid w:val="001626C6"/>
    <w:rsid w:val="00163F42"/>
    <w:rsid w:val="00163F5B"/>
    <w:rsid w:val="00163FA2"/>
    <w:rsid w:val="00163FF4"/>
    <w:rsid w:val="00164384"/>
    <w:rsid w:val="00164D75"/>
    <w:rsid w:val="00165BCE"/>
    <w:rsid w:val="00166242"/>
    <w:rsid w:val="00167BF9"/>
    <w:rsid w:val="00167F79"/>
    <w:rsid w:val="00171AFC"/>
    <w:rsid w:val="001739A0"/>
    <w:rsid w:val="001753DD"/>
    <w:rsid w:val="001802CA"/>
    <w:rsid w:val="00180CBA"/>
    <w:rsid w:val="00181629"/>
    <w:rsid w:val="00181A35"/>
    <w:rsid w:val="00182C7C"/>
    <w:rsid w:val="00183883"/>
    <w:rsid w:val="00183CBA"/>
    <w:rsid w:val="00183FB1"/>
    <w:rsid w:val="00185576"/>
    <w:rsid w:val="00185951"/>
    <w:rsid w:val="00191587"/>
    <w:rsid w:val="00192687"/>
    <w:rsid w:val="0019336F"/>
    <w:rsid w:val="00193994"/>
    <w:rsid w:val="001939DF"/>
    <w:rsid w:val="00194809"/>
    <w:rsid w:val="00194F38"/>
    <w:rsid w:val="001952F9"/>
    <w:rsid w:val="00195B13"/>
    <w:rsid w:val="001A2505"/>
    <w:rsid w:val="001A4CE3"/>
    <w:rsid w:val="001A50E9"/>
    <w:rsid w:val="001A5422"/>
    <w:rsid w:val="001A694B"/>
    <w:rsid w:val="001B0189"/>
    <w:rsid w:val="001B01D9"/>
    <w:rsid w:val="001B1B4E"/>
    <w:rsid w:val="001B2C4B"/>
    <w:rsid w:val="001B3BCC"/>
    <w:rsid w:val="001B5DC5"/>
    <w:rsid w:val="001B793F"/>
    <w:rsid w:val="001B7D7E"/>
    <w:rsid w:val="001C0CF4"/>
    <w:rsid w:val="001C1AF8"/>
    <w:rsid w:val="001C28F7"/>
    <w:rsid w:val="001C3DBE"/>
    <w:rsid w:val="001C3DE6"/>
    <w:rsid w:val="001C47F8"/>
    <w:rsid w:val="001C49CC"/>
    <w:rsid w:val="001C6550"/>
    <w:rsid w:val="001C793E"/>
    <w:rsid w:val="001D0371"/>
    <w:rsid w:val="001D0FB6"/>
    <w:rsid w:val="001D288C"/>
    <w:rsid w:val="001D47B9"/>
    <w:rsid w:val="001D5178"/>
    <w:rsid w:val="001D5910"/>
    <w:rsid w:val="001D6E85"/>
    <w:rsid w:val="001D7F60"/>
    <w:rsid w:val="001E1BD7"/>
    <w:rsid w:val="001E1DE8"/>
    <w:rsid w:val="001E1E35"/>
    <w:rsid w:val="001E2B9C"/>
    <w:rsid w:val="001E34C6"/>
    <w:rsid w:val="001E5581"/>
    <w:rsid w:val="001E73BA"/>
    <w:rsid w:val="001E79AD"/>
    <w:rsid w:val="001F0250"/>
    <w:rsid w:val="001F0341"/>
    <w:rsid w:val="001F0D75"/>
    <w:rsid w:val="001F2538"/>
    <w:rsid w:val="001F3AD3"/>
    <w:rsid w:val="001F4D72"/>
    <w:rsid w:val="001F562C"/>
    <w:rsid w:val="001F583B"/>
    <w:rsid w:val="001F61E2"/>
    <w:rsid w:val="001F6340"/>
    <w:rsid w:val="00203CDE"/>
    <w:rsid w:val="002068BD"/>
    <w:rsid w:val="00210629"/>
    <w:rsid w:val="00210A12"/>
    <w:rsid w:val="00211122"/>
    <w:rsid w:val="002121BE"/>
    <w:rsid w:val="0021384A"/>
    <w:rsid w:val="00216302"/>
    <w:rsid w:val="002165AB"/>
    <w:rsid w:val="00216ADD"/>
    <w:rsid w:val="00217B80"/>
    <w:rsid w:val="002212B1"/>
    <w:rsid w:val="00221806"/>
    <w:rsid w:val="002222A2"/>
    <w:rsid w:val="0022295F"/>
    <w:rsid w:val="00223E42"/>
    <w:rsid w:val="00226DA5"/>
    <w:rsid w:val="00227E4B"/>
    <w:rsid w:val="002335E8"/>
    <w:rsid w:val="00234DF4"/>
    <w:rsid w:val="00234F48"/>
    <w:rsid w:val="00237401"/>
    <w:rsid w:val="00237F45"/>
    <w:rsid w:val="0024163C"/>
    <w:rsid w:val="00242356"/>
    <w:rsid w:val="002428E3"/>
    <w:rsid w:val="00244E3B"/>
    <w:rsid w:val="00245C73"/>
    <w:rsid w:val="00247458"/>
    <w:rsid w:val="0025034D"/>
    <w:rsid w:val="00250D3B"/>
    <w:rsid w:val="00254103"/>
    <w:rsid w:val="00255FA6"/>
    <w:rsid w:val="002568BC"/>
    <w:rsid w:val="00256E73"/>
    <w:rsid w:val="002579E2"/>
    <w:rsid w:val="00260BAF"/>
    <w:rsid w:val="00261F77"/>
    <w:rsid w:val="002633CA"/>
    <w:rsid w:val="002644F5"/>
    <w:rsid w:val="002648E1"/>
    <w:rsid w:val="00264CB9"/>
    <w:rsid w:val="002650F7"/>
    <w:rsid w:val="00266018"/>
    <w:rsid w:val="00267BA5"/>
    <w:rsid w:val="0027051F"/>
    <w:rsid w:val="00272F45"/>
    <w:rsid w:val="002731C3"/>
    <w:rsid w:val="002733CD"/>
    <w:rsid w:val="00273C42"/>
    <w:rsid w:val="0027471C"/>
    <w:rsid w:val="002803F3"/>
    <w:rsid w:val="0028070F"/>
    <w:rsid w:val="00280CF7"/>
    <w:rsid w:val="00280F74"/>
    <w:rsid w:val="00281846"/>
    <w:rsid w:val="0028322C"/>
    <w:rsid w:val="00283363"/>
    <w:rsid w:val="00286998"/>
    <w:rsid w:val="002874CC"/>
    <w:rsid w:val="002878EE"/>
    <w:rsid w:val="00290320"/>
    <w:rsid w:val="00290657"/>
    <w:rsid w:val="002912E8"/>
    <w:rsid w:val="002957DE"/>
    <w:rsid w:val="00296115"/>
    <w:rsid w:val="00297320"/>
    <w:rsid w:val="002A149F"/>
    <w:rsid w:val="002A1CB5"/>
    <w:rsid w:val="002A310E"/>
    <w:rsid w:val="002A42EB"/>
    <w:rsid w:val="002A5261"/>
    <w:rsid w:val="002A6BF7"/>
    <w:rsid w:val="002B0F2F"/>
    <w:rsid w:val="002B153C"/>
    <w:rsid w:val="002B7582"/>
    <w:rsid w:val="002B76D0"/>
    <w:rsid w:val="002C2320"/>
    <w:rsid w:val="002C3659"/>
    <w:rsid w:val="002C45B0"/>
    <w:rsid w:val="002C6064"/>
    <w:rsid w:val="002C6A05"/>
    <w:rsid w:val="002C7110"/>
    <w:rsid w:val="002C7285"/>
    <w:rsid w:val="002C7362"/>
    <w:rsid w:val="002C75D9"/>
    <w:rsid w:val="002C77AF"/>
    <w:rsid w:val="002D1801"/>
    <w:rsid w:val="002D3129"/>
    <w:rsid w:val="002D317B"/>
    <w:rsid w:val="002D6BF5"/>
    <w:rsid w:val="002D70F3"/>
    <w:rsid w:val="002E05CA"/>
    <w:rsid w:val="002E0CD5"/>
    <w:rsid w:val="002E0F69"/>
    <w:rsid w:val="002E14DF"/>
    <w:rsid w:val="002E14E1"/>
    <w:rsid w:val="002E184D"/>
    <w:rsid w:val="002E1FAD"/>
    <w:rsid w:val="002E3F64"/>
    <w:rsid w:val="002E44D1"/>
    <w:rsid w:val="002E572E"/>
    <w:rsid w:val="002E7941"/>
    <w:rsid w:val="002F1D5F"/>
    <w:rsid w:val="002F257D"/>
    <w:rsid w:val="002F35DC"/>
    <w:rsid w:val="002F56DD"/>
    <w:rsid w:val="002F5E6C"/>
    <w:rsid w:val="002F6CE5"/>
    <w:rsid w:val="002F7070"/>
    <w:rsid w:val="0030018C"/>
    <w:rsid w:val="00300D9E"/>
    <w:rsid w:val="0030201A"/>
    <w:rsid w:val="00302C0A"/>
    <w:rsid w:val="00303724"/>
    <w:rsid w:val="00304329"/>
    <w:rsid w:val="003051CC"/>
    <w:rsid w:val="00306B7E"/>
    <w:rsid w:val="00307981"/>
    <w:rsid w:val="00307CF0"/>
    <w:rsid w:val="00310F33"/>
    <w:rsid w:val="00311D97"/>
    <w:rsid w:val="00312597"/>
    <w:rsid w:val="00313554"/>
    <w:rsid w:val="003139A4"/>
    <w:rsid w:val="00313BBB"/>
    <w:rsid w:val="003141DF"/>
    <w:rsid w:val="003155E3"/>
    <w:rsid w:val="0031751C"/>
    <w:rsid w:val="00320395"/>
    <w:rsid w:val="00321AA3"/>
    <w:rsid w:val="00323076"/>
    <w:rsid w:val="00326699"/>
    <w:rsid w:val="0033173E"/>
    <w:rsid w:val="00331B8E"/>
    <w:rsid w:val="0033207E"/>
    <w:rsid w:val="00333036"/>
    <w:rsid w:val="003331DA"/>
    <w:rsid w:val="00333A9E"/>
    <w:rsid w:val="00334334"/>
    <w:rsid w:val="00335F89"/>
    <w:rsid w:val="00336E85"/>
    <w:rsid w:val="003412ED"/>
    <w:rsid w:val="00341585"/>
    <w:rsid w:val="00342938"/>
    <w:rsid w:val="00343F24"/>
    <w:rsid w:val="00345768"/>
    <w:rsid w:val="003477DF"/>
    <w:rsid w:val="00347ABB"/>
    <w:rsid w:val="00350045"/>
    <w:rsid w:val="00350DC8"/>
    <w:rsid w:val="00353D56"/>
    <w:rsid w:val="003554B8"/>
    <w:rsid w:val="00355575"/>
    <w:rsid w:val="003555BF"/>
    <w:rsid w:val="00361B44"/>
    <w:rsid w:val="0036223B"/>
    <w:rsid w:val="0036252A"/>
    <w:rsid w:val="003646BF"/>
    <w:rsid w:val="00364D9D"/>
    <w:rsid w:val="003651DD"/>
    <w:rsid w:val="003668AB"/>
    <w:rsid w:val="00371603"/>
    <w:rsid w:val="003735B9"/>
    <w:rsid w:val="003737A8"/>
    <w:rsid w:val="0037461E"/>
    <w:rsid w:val="00374748"/>
    <w:rsid w:val="0038028B"/>
    <w:rsid w:val="00380854"/>
    <w:rsid w:val="00382AE3"/>
    <w:rsid w:val="00383906"/>
    <w:rsid w:val="00383DA1"/>
    <w:rsid w:val="00387E67"/>
    <w:rsid w:val="00387E90"/>
    <w:rsid w:val="0039056B"/>
    <w:rsid w:val="003912B4"/>
    <w:rsid w:val="0039160C"/>
    <w:rsid w:val="00392007"/>
    <w:rsid w:val="0039660F"/>
    <w:rsid w:val="0039741E"/>
    <w:rsid w:val="0039744C"/>
    <w:rsid w:val="00397C46"/>
    <w:rsid w:val="003A06C8"/>
    <w:rsid w:val="003A0D7C"/>
    <w:rsid w:val="003A1A79"/>
    <w:rsid w:val="003A1E73"/>
    <w:rsid w:val="003A32D7"/>
    <w:rsid w:val="003A4B33"/>
    <w:rsid w:val="003A550A"/>
    <w:rsid w:val="003A65E8"/>
    <w:rsid w:val="003A667A"/>
    <w:rsid w:val="003A74F5"/>
    <w:rsid w:val="003A7AFA"/>
    <w:rsid w:val="003A7CA6"/>
    <w:rsid w:val="003B0791"/>
    <w:rsid w:val="003B3E90"/>
    <w:rsid w:val="003B40BE"/>
    <w:rsid w:val="003B4CB4"/>
    <w:rsid w:val="003B518B"/>
    <w:rsid w:val="003B58E3"/>
    <w:rsid w:val="003B7612"/>
    <w:rsid w:val="003B7EE7"/>
    <w:rsid w:val="003C18C0"/>
    <w:rsid w:val="003C6ADC"/>
    <w:rsid w:val="003C7467"/>
    <w:rsid w:val="003D09E1"/>
    <w:rsid w:val="003D1F17"/>
    <w:rsid w:val="003D244F"/>
    <w:rsid w:val="003D39EC"/>
    <w:rsid w:val="003D3E27"/>
    <w:rsid w:val="003D53B3"/>
    <w:rsid w:val="003D5452"/>
    <w:rsid w:val="003D5F0B"/>
    <w:rsid w:val="003D606F"/>
    <w:rsid w:val="003D6943"/>
    <w:rsid w:val="003D78F6"/>
    <w:rsid w:val="003E08CD"/>
    <w:rsid w:val="003E0D8B"/>
    <w:rsid w:val="003E0DD1"/>
    <w:rsid w:val="003E3DD5"/>
    <w:rsid w:val="003E537A"/>
    <w:rsid w:val="003E55D6"/>
    <w:rsid w:val="003E69A7"/>
    <w:rsid w:val="003E6FCE"/>
    <w:rsid w:val="003E713E"/>
    <w:rsid w:val="003E7BF8"/>
    <w:rsid w:val="003E7ECF"/>
    <w:rsid w:val="003F0833"/>
    <w:rsid w:val="003F0B8C"/>
    <w:rsid w:val="003F1ECD"/>
    <w:rsid w:val="003F26FC"/>
    <w:rsid w:val="003F350F"/>
    <w:rsid w:val="003F44B7"/>
    <w:rsid w:val="003F5164"/>
    <w:rsid w:val="003F6EBC"/>
    <w:rsid w:val="003F75A0"/>
    <w:rsid w:val="00400F1C"/>
    <w:rsid w:val="0040306E"/>
    <w:rsid w:val="004030D8"/>
    <w:rsid w:val="00404B4E"/>
    <w:rsid w:val="004056BB"/>
    <w:rsid w:val="00405BB4"/>
    <w:rsid w:val="00406AF7"/>
    <w:rsid w:val="004075F2"/>
    <w:rsid w:val="00410DE8"/>
    <w:rsid w:val="00411100"/>
    <w:rsid w:val="004111DA"/>
    <w:rsid w:val="00413D48"/>
    <w:rsid w:val="00414ACD"/>
    <w:rsid w:val="004213B0"/>
    <w:rsid w:val="00422948"/>
    <w:rsid w:val="00422FEE"/>
    <w:rsid w:val="00426BB4"/>
    <w:rsid w:val="00427289"/>
    <w:rsid w:val="00427F66"/>
    <w:rsid w:val="00430CBE"/>
    <w:rsid w:val="004374FA"/>
    <w:rsid w:val="00441AC2"/>
    <w:rsid w:val="00441FB3"/>
    <w:rsid w:val="004425A0"/>
    <w:rsid w:val="00444564"/>
    <w:rsid w:val="00444592"/>
    <w:rsid w:val="00444CDE"/>
    <w:rsid w:val="00445115"/>
    <w:rsid w:val="00445FEE"/>
    <w:rsid w:val="0044678E"/>
    <w:rsid w:val="004469C1"/>
    <w:rsid w:val="00447E60"/>
    <w:rsid w:val="0045061E"/>
    <w:rsid w:val="004510AC"/>
    <w:rsid w:val="004520E4"/>
    <w:rsid w:val="004528F1"/>
    <w:rsid w:val="00452BCD"/>
    <w:rsid w:val="00453A1E"/>
    <w:rsid w:val="00454EC1"/>
    <w:rsid w:val="00456A79"/>
    <w:rsid w:val="00456B63"/>
    <w:rsid w:val="00456C9B"/>
    <w:rsid w:val="00456E80"/>
    <w:rsid w:val="0046002C"/>
    <w:rsid w:val="00460E7F"/>
    <w:rsid w:val="00460FF3"/>
    <w:rsid w:val="0046218D"/>
    <w:rsid w:val="00463FDE"/>
    <w:rsid w:val="0046457D"/>
    <w:rsid w:val="00464BD8"/>
    <w:rsid w:val="004655AB"/>
    <w:rsid w:val="004659CD"/>
    <w:rsid w:val="00467D2E"/>
    <w:rsid w:val="00470830"/>
    <w:rsid w:val="004726E9"/>
    <w:rsid w:val="00473B74"/>
    <w:rsid w:val="00476808"/>
    <w:rsid w:val="00476C91"/>
    <w:rsid w:val="0047742D"/>
    <w:rsid w:val="00480612"/>
    <w:rsid w:val="004811AB"/>
    <w:rsid w:val="0048181B"/>
    <w:rsid w:val="004823D2"/>
    <w:rsid w:val="00483F0B"/>
    <w:rsid w:val="00484913"/>
    <w:rsid w:val="00486000"/>
    <w:rsid w:val="004862F0"/>
    <w:rsid w:val="004867E2"/>
    <w:rsid w:val="00487527"/>
    <w:rsid w:val="00492A5E"/>
    <w:rsid w:val="004943C2"/>
    <w:rsid w:val="00494B21"/>
    <w:rsid w:val="004956ED"/>
    <w:rsid w:val="004A5672"/>
    <w:rsid w:val="004A5F55"/>
    <w:rsid w:val="004A7BAF"/>
    <w:rsid w:val="004B02EC"/>
    <w:rsid w:val="004B20D3"/>
    <w:rsid w:val="004B293A"/>
    <w:rsid w:val="004B2EB3"/>
    <w:rsid w:val="004B30C6"/>
    <w:rsid w:val="004B3BB8"/>
    <w:rsid w:val="004B5465"/>
    <w:rsid w:val="004B68F5"/>
    <w:rsid w:val="004B7506"/>
    <w:rsid w:val="004C0099"/>
    <w:rsid w:val="004C1744"/>
    <w:rsid w:val="004C19B8"/>
    <w:rsid w:val="004C4242"/>
    <w:rsid w:val="004C6647"/>
    <w:rsid w:val="004C7FE0"/>
    <w:rsid w:val="004D07B2"/>
    <w:rsid w:val="004D106D"/>
    <w:rsid w:val="004D1729"/>
    <w:rsid w:val="004D1C3B"/>
    <w:rsid w:val="004D2E94"/>
    <w:rsid w:val="004D372F"/>
    <w:rsid w:val="004D403F"/>
    <w:rsid w:val="004D4757"/>
    <w:rsid w:val="004D4B40"/>
    <w:rsid w:val="004D5643"/>
    <w:rsid w:val="004D6440"/>
    <w:rsid w:val="004E022E"/>
    <w:rsid w:val="004E13BE"/>
    <w:rsid w:val="004E1825"/>
    <w:rsid w:val="004E271E"/>
    <w:rsid w:val="004E32F0"/>
    <w:rsid w:val="004E4EE9"/>
    <w:rsid w:val="004E60C0"/>
    <w:rsid w:val="004E6E44"/>
    <w:rsid w:val="004E7715"/>
    <w:rsid w:val="004F252B"/>
    <w:rsid w:val="004F36CC"/>
    <w:rsid w:val="004F391C"/>
    <w:rsid w:val="004F3C83"/>
    <w:rsid w:val="004F4285"/>
    <w:rsid w:val="004F5098"/>
    <w:rsid w:val="004F680B"/>
    <w:rsid w:val="004F6950"/>
    <w:rsid w:val="004F6A20"/>
    <w:rsid w:val="00501C53"/>
    <w:rsid w:val="00502AF4"/>
    <w:rsid w:val="00504887"/>
    <w:rsid w:val="00504EC6"/>
    <w:rsid w:val="005059B4"/>
    <w:rsid w:val="00505E80"/>
    <w:rsid w:val="00507B8D"/>
    <w:rsid w:val="00510633"/>
    <w:rsid w:val="00512A53"/>
    <w:rsid w:val="00513024"/>
    <w:rsid w:val="00514729"/>
    <w:rsid w:val="00514E32"/>
    <w:rsid w:val="00514F30"/>
    <w:rsid w:val="005150FC"/>
    <w:rsid w:val="00515404"/>
    <w:rsid w:val="00516022"/>
    <w:rsid w:val="005166D1"/>
    <w:rsid w:val="00517A58"/>
    <w:rsid w:val="00521CEE"/>
    <w:rsid w:val="00522A8A"/>
    <w:rsid w:val="00523F8B"/>
    <w:rsid w:val="00524D65"/>
    <w:rsid w:val="00526E66"/>
    <w:rsid w:val="00526EC4"/>
    <w:rsid w:val="00530233"/>
    <w:rsid w:val="00530ADE"/>
    <w:rsid w:val="00532172"/>
    <w:rsid w:val="005321F1"/>
    <w:rsid w:val="00532596"/>
    <w:rsid w:val="00534880"/>
    <w:rsid w:val="005370D9"/>
    <w:rsid w:val="0053789D"/>
    <w:rsid w:val="00537DB3"/>
    <w:rsid w:val="00540AEA"/>
    <w:rsid w:val="005415F2"/>
    <w:rsid w:val="00542684"/>
    <w:rsid w:val="00543C00"/>
    <w:rsid w:val="00545103"/>
    <w:rsid w:val="005452CC"/>
    <w:rsid w:val="005466EF"/>
    <w:rsid w:val="005469CE"/>
    <w:rsid w:val="005477C5"/>
    <w:rsid w:val="0054783C"/>
    <w:rsid w:val="00547CB3"/>
    <w:rsid w:val="005505A1"/>
    <w:rsid w:val="005506A2"/>
    <w:rsid w:val="005530A7"/>
    <w:rsid w:val="005546E2"/>
    <w:rsid w:val="00554727"/>
    <w:rsid w:val="005553AD"/>
    <w:rsid w:val="005557A8"/>
    <w:rsid w:val="00555BE3"/>
    <w:rsid w:val="00556486"/>
    <w:rsid w:val="00556D2C"/>
    <w:rsid w:val="0055776D"/>
    <w:rsid w:val="00560FB5"/>
    <w:rsid w:val="005624A7"/>
    <w:rsid w:val="00562ED1"/>
    <w:rsid w:val="0056454C"/>
    <w:rsid w:val="00564767"/>
    <w:rsid w:val="005652E2"/>
    <w:rsid w:val="0057019F"/>
    <w:rsid w:val="00573041"/>
    <w:rsid w:val="0057402A"/>
    <w:rsid w:val="005749A5"/>
    <w:rsid w:val="0057732A"/>
    <w:rsid w:val="00582942"/>
    <w:rsid w:val="00584568"/>
    <w:rsid w:val="00587797"/>
    <w:rsid w:val="005903FB"/>
    <w:rsid w:val="00593255"/>
    <w:rsid w:val="005936CB"/>
    <w:rsid w:val="00593B69"/>
    <w:rsid w:val="005943F9"/>
    <w:rsid w:val="00594BEA"/>
    <w:rsid w:val="0059530B"/>
    <w:rsid w:val="0059618F"/>
    <w:rsid w:val="0059680A"/>
    <w:rsid w:val="005968D8"/>
    <w:rsid w:val="00596BFC"/>
    <w:rsid w:val="00597040"/>
    <w:rsid w:val="00597477"/>
    <w:rsid w:val="005A0187"/>
    <w:rsid w:val="005A0316"/>
    <w:rsid w:val="005A03A3"/>
    <w:rsid w:val="005A1D89"/>
    <w:rsid w:val="005A463A"/>
    <w:rsid w:val="005A6ADB"/>
    <w:rsid w:val="005A79E3"/>
    <w:rsid w:val="005B0ADD"/>
    <w:rsid w:val="005B36E0"/>
    <w:rsid w:val="005B4F97"/>
    <w:rsid w:val="005B57F0"/>
    <w:rsid w:val="005B6A16"/>
    <w:rsid w:val="005B77E3"/>
    <w:rsid w:val="005C164B"/>
    <w:rsid w:val="005C1A3A"/>
    <w:rsid w:val="005C22DD"/>
    <w:rsid w:val="005C3FE0"/>
    <w:rsid w:val="005C400C"/>
    <w:rsid w:val="005C4884"/>
    <w:rsid w:val="005C4A83"/>
    <w:rsid w:val="005C7308"/>
    <w:rsid w:val="005C740C"/>
    <w:rsid w:val="005C79BA"/>
    <w:rsid w:val="005D0300"/>
    <w:rsid w:val="005D063A"/>
    <w:rsid w:val="005D1688"/>
    <w:rsid w:val="005D1E27"/>
    <w:rsid w:val="005D3322"/>
    <w:rsid w:val="005D4510"/>
    <w:rsid w:val="005D6886"/>
    <w:rsid w:val="005E17A4"/>
    <w:rsid w:val="005E25D4"/>
    <w:rsid w:val="005E6236"/>
    <w:rsid w:val="005F0BC8"/>
    <w:rsid w:val="005F0E31"/>
    <w:rsid w:val="005F23DB"/>
    <w:rsid w:val="005F2721"/>
    <w:rsid w:val="005F2F08"/>
    <w:rsid w:val="005F3C85"/>
    <w:rsid w:val="005F3FB6"/>
    <w:rsid w:val="005F431D"/>
    <w:rsid w:val="005F4FE7"/>
    <w:rsid w:val="005F55C9"/>
    <w:rsid w:val="005F5DFA"/>
    <w:rsid w:val="00600777"/>
    <w:rsid w:val="0060167A"/>
    <w:rsid w:val="00602145"/>
    <w:rsid w:val="00604859"/>
    <w:rsid w:val="006048F4"/>
    <w:rsid w:val="00604F46"/>
    <w:rsid w:val="00605687"/>
    <w:rsid w:val="006064E1"/>
    <w:rsid w:val="0060660A"/>
    <w:rsid w:val="00610AAA"/>
    <w:rsid w:val="00611CB0"/>
    <w:rsid w:val="00612294"/>
    <w:rsid w:val="006123B1"/>
    <w:rsid w:val="0061251F"/>
    <w:rsid w:val="00613D07"/>
    <w:rsid w:val="006144B7"/>
    <w:rsid w:val="00614E78"/>
    <w:rsid w:val="0061509D"/>
    <w:rsid w:val="006154C6"/>
    <w:rsid w:val="00615DAA"/>
    <w:rsid w:val="00615FA4"/>
    <w:rsid w:val="00617313"/>
    <w:rsid w:val="00617A44"/>
    <w:rsid w:val="00621767"/>
    <w:rsid w:val="0062198A"/>
    <w:rsid w:val="00622096"/>
    <w:rsid w:val="00625773"/>
    <w:rsid w:val="00625CD0"/>
    <w:rsid w:val="00625EB1"/>
    <w:rsid w:val="006271BD"/>
    <w:rsid w:val="006316B8"/>
    <w:rsid w:val="00631889"/>
    <w:rsid w:val="00632896"/>
    <w:rsid w:val="006329A1"/>
    <w:rsid w:val="00633895"/>
    <w:rsid w:val="00633D2B"/>
    <w:rsid w:val="00634A3C"/>
    <w:rsid w:val="00634F56"/>
    <w:rsid w:val="00635DE3"/>
    <w:rsid w:val="00636AFD"/>
    <w:rsid w:val="006375B8"/>
    <w:rsid w:val="006434D1"/>
    <w:rsid w:val="00645EC4"/>
    <w:rsid w:val="006469F6"/>
    <w:rsid w:val="00646E47"/>
    <w:rsid w:val="00650433"/>
    <w:rsid w:val="00651441"/>
    <w:rsid w:val="00651DC0"/>
    <w:rsid w:val="006522A0"/>
    <w:rsid w:val="0065281C"/>
    <w:rsid w:val="006531AA"/>
    <w:rsid w:val="006540F1"/>
    <w:rsid w:val="006565D2"/>
    <w:rsid w:val="006569DB"/>
    <w:rsid w:val="00656C96"/>
    <w:rsid w:val="00657247"/>
    <w:rsid w:val="00657DD8"/>
    <w:rsid w:val="00661136"/>
    <w:rsid w:val="006614C4"/>
    <w:rsid w:val="00661591"/>
    <w:rsid w:val="00662125"/>
    <w:rsid w:val="00662F0B"/>
    <w:rsid w:val="00663E9A"/>
    <w:rsid w:val="0066632F"/>
    <w:rsid w:val="006665E1"/>
    <w:rsid w:val="00667BAB"/>
    <w:rsid w:val="0067057E"/>
    <w:rsid w:val="00670DD3"/>
    <w:rsid w:val="006711DA"/>
    <w:rsid w:val="0067329B"/>
    <w:rsid w:val="00674C14"/>
    <w:rsid w:val="00676A47"/>
    <w:rsid w:val="0068182A"/>
    <w:rsid w:val="00681B2D"/>
    <w:rsid w:val="006827E1"/>
    <w:rsid w:val="00685E75"/>
    <w:rsid w:val="00687861"/>
    <w:rsid w:val="00687998"/>
    <w:rsid w:val="006900C0"/>
    <w:rsid w:val="0069047B"/>
    <w:rsid w:val="00690DCA"/>
    <w:rsid w:val="00691046"/>
    <w:rsid w:val="006918A9"/>
    <w:rsid w:val="00691BDA"/>
    <w:rsid w:val="00692E7B"/>
    <w:rsid w:val="0069317D"/>
    <w:rsid w:val="006956A1"/>
    <w:rsid w:val="0069702B"/>
    <w:rsid w:val="006A1586"/>
    <w:rsid w:val="006A26D8"/>
    <w:rsid w:val="006A3362"/>
    <w:rsid w:val="006A3C0C"/>
    <w:rsid w:val="006A4167"/>
    <w:rsid w:val="006A4DB5"/>
    <w:rsid w:val="006A52D6"/>
    <w:rsid w:val="006A670C"/>
    <w:rsid w:val="006A6FA2"/>
    <w:rsid w:val="006A73B3"/>
    <w:rsid w:val="006A78DD"/>
    <w:rsid w:val="006B021E"/>
    <w:rsid w:val="006B03AF"/>
    <w:rsid w:val="006B0D67"/>
    <w:rsid w:val="006B1F66"/>
    <w:rsid w:val="006B2292"/>
    <w:rsid w:val="006B329D"/>
    <w:rsid w:val="006B3A5E"/>
    <w:rsid w:val="006C0DE3"/>
    <w:rsid w:val="006C114E"/>
    <w:rsid w:val="006C1EB0"/>
    <w:rsid w:val="006C2535"/>
    <w:rsid w:val="006C3A41"/>
    <w:rsid w:val="006C5413"/>
    <w:rsid w:val="006C65A1"/>
    <w:rsid w:val="006C6C62"/>
    <w:rsid w:val="006C7CA9"/>
    <w:rsid w:val="006D3256"/>
    <w:rsid w:val="006D4B0D"/>
    <w:rsid w:val="006D5DC2"/>
    <w:rsid w:val="006D60B4"/>
    <w:rsid w:val="006D75E1"/>
    <w:rsid w:val="006D7F64"/>
    <w:rsid w:val="006E263E"/>
    <w:rsid w:val="006E3546"/>
    <w:rsid w:val="006E365A"/>
    <w:rsid w:val="006E38C3"/>
    <w:rsid w:val="006E4D97"/>
    <w:rsid w:val="006E7216"/>
    <w:rsid w:val="006E7C44"/>
    <w:rsid w:val="006F0F93"/>
    <w:rsid w:val="006F17B6"/>
    <w:rsid w:val="006F2FA4"/>
    <w:rsid w:val="006F35FA"/>
    <w:rsid w:val="00703AEF"/>
    <w:rsid w:val="00703D0F"/>
    <w:rsid w:val="00704CCA"/>
    <w:rsid w:val="0070543F"/>
    <w:rsid w:val="00705BC0"/>
    <w:rsid w:val="00705C87"/>
    <w:rsid w:val="00707E10"/>
    <w:rsid w:val="00707EA6"/>
    <w:rsid w:val="00710978"/>
    <w:rsid w:val="00713044"/>
    <w:rsid w:val="00713F74"/>
    <w:rsid w:val="007146F0"/>
    <w:rsid w:val="00714C30"/>
    <w:rsid w:val="007151B2"/>
    <w:rsid w:val="00715237"/>
    <w:rsid w:val="00715F39"/>
    <w:rsid w:val="00716F76"/>
    <w:rsid w:val="00720573"/>
    <w:rsid w:val="0072120E"/>
    <w:rsid w:val="00722293"/>
    <w:rsid w:val="00722F4B"/>
    <w:rsid w:val="007230FA"/>
    <w:rsid w:val="00724101"/>
    <w:rsid w:val="007250F0"/>
    <w:rsid w:val="007254A5"/>
    <w:rsid w:val="00725748"/>
    <w:rsid w:val="00730D14"/>
    <w:rsid w:val="00734374"/>
    <w:rsid w:val="00735496"/>
    <w:rsid w:val="00736D0D"/>
    <w:rsid w:val="0073720D"/>
    <w:rsid w:val="007402E0"/>
    <w:rsid w:val="007418AE"/>
    <w:rsid w:val="00742963"/>
    <w:rsid w:val="00742AB9"/>
    <w:rsid w:val="00743337"/>
    <w:rsid w:val="00744DCB"/>
    <w:rsid w:val="00745016"/>
    <w:rsid w:val="007450FE"/>
    <w:rsid w:val="00746658"/>
    <w:rsid w:val="00746754"/>
    <w:rsid w:val="00750A91"/>
    <w:rsid w:val="00751CF9"/>
    <w:rsid w:val="0075240B"/>
    <w:rsid w:val="0075368B"/>
    <w:rsid w:val="00754176"/>
    <w:rsid w:val="00754666"/>
    <w:rsid w:val="00754FBF"/>
    <w:rsid w:val="00755248"/>
    <w:rsid w:val="00756754"/>
    <w:rsid w:val="00757005"/>
    <w:rsid w:val="0076016D"/>
    <w:rsid w:val="007606CE"/>
    <w:rsid w:val="00760C95"/>
    <w:rsid w:val="007636F4"/>
    <w:rsid w:val="00763BB2"/>
    <w:rsid w:val="00765242"/>
    <w:rsid w:val="0077029E"/>
    <w:rsid w:val="0077048E"/>
    <w:rsid w:val="007706BC"/>
    <w:rsid w:val="00770864"/>
    <w:rsid w:val="007724AB"/>
    <w:rsid w:val="00772734"/>
    <w:rsid w:val="00774B22"/>
    <w:rsid w:val="00775344"/>
    <w:rsid w:val="00775D8A"/>
    <w:rsid w:val="0077737C"/>
    <w:rsid w:val="007777DF"/>
    <w:rsid w:val="00781BE3"/>
    <w:rsid w:val="00781CED"/>
    <w:rsid w:val="007831C7"/>
    <w:rsid w:val="00783559"/>
    <w:rsid w:val="00783B2B"/>
    <w:rsid w:val="0078554C"/>
    <w:rsid w:val="00785F18"/>
    <w:rsid w:val="00786645"/>
    <w:rsid w:val="00786698"/>
    <w:rsid w:val="0079029D"/>
    <w:rsid w:val="00792AB2"/>
    <w:rsid w:val="00795AF0"/>
    <w:rsid w:val="007A0370"/>
    <w:rsid w:val="007A3BEE"/>
    <w:rsid w:val="007A4105"/>
    <w:rsid w:val="007A474C"/>
    <w:rsid w:val="007A76A0"/>
    <w:rsid w:val="007B0280"/>
    <w:rsid w:val="007B163C"/>
    <w:rsid w:val="007B1DC5"/>
    <w:rsid w:val="007B2BC2"/>
    <w:rsid w:val="007B54BC"/>
    <w:rsid w:val="007B58DF"/>
    <w:rsid w:val="007B6E9D"/>
    <w:rsid w:val="007C0CE8"/>
    <w:rsid w:val="007C22BF"/>
    <w:rsid w:val="007C406E"/>
    <w:rsid w:val="007C66A9"/>
    <w:rsid w:val="007C7F09"/>
    <w:rsid w:val="007D08AB"/>
    <w:rsid w:val="007D0AC3"/>
    <w:rsid w:val="007D25B4"/>
    <w:rsid w:val="007D2C22"/>
    <w:rsid w:val="007D4A22"/>
    <w:rsid w:val="007D5658"/>
    <w:rsid w:val="007D6565"/>
    <w:rsid w:val="007E10EE"/>
    <w:rsid w:val="007E1149"/>
    <w:rsid w:val="007E2C0D"/>
    <w:rsid w:val="007E33F7"/>
    <w:rsid w:val="007E435C"/>
    <w:rsid w:val="007E4BCC"/>
    <w:rsid w:val="007E6BE6"/>
    <w:rsid w:val="007F100C"/>
    <w:rsid w:val="007F192E"/>
    <w:rsid w:val="007F1982"/>
    <w:rsid w:val="007F428E"/>
    <w:rsid w:val="007F523D"/>
    <w:rsid w:val="007F74ED"/>
    <w:rsid w:val="0080054A"/>
    <w:rsid w:val="0080096E"/>
    <w:rsid w:val="008050E6"/>
    <w:rsid w:val="00806B95"/>
    <w:rsid w:val="00807805"/>
    <w:rsid w:val="00810CFA"/>
    <w:rsid w:val="00811392"/>
    <w:rsid w:val="00812028"/>
    <w:rsid w:val="008130FC"/>
    <w:rsid w:val="00814D03"/>
    <w:rsid w:val="0081537D"/>
    <w:rsid w:val="00816074"/>
    <w:rsid w:val="00817293"/>
    <w:rsid w:val="00820F4D"/>
    <w:rsid w:val="0082114C"/>
    <w:rsid w:val="00823E74"/>
    <w:rsid w:val="00824629"/>
    <w:rsid w:val="0083178B"/>
    <w:rsid w:val="00833695"/>
    <w:rsid w:val="00834F99"/>
    <w:rsid w:val="008364EF"/>
    <w:rsid w:val="0083788B"/>
    <w:rsid w:val="00837C66"/>
    <w:rsid w:val="008407B5"/>
    <w:rsid w:val="008409AE"/>
    <w:rsid w:val="0084251E"/>
    <w:rsid w:val="00842A21"/>
    <w:rsid w:val="00842CD8"/>
    <w:rsid w:val="008435CC"/>
    <w:rsid w:val="008512C8"/>
    <w:rsid w:val="008517DE"/>
    <w:rsid w:val="00851BC3"/>
    <w:rsid w:val="008520D8"/>
    <w:rsid w:val="008525B2"/>
    <w:rsid w:val="008530B2"/>
    <w:rsid w:val="008553C7"/>
    <w:rsid w:val="00857770"/>
    <w:rsid w:val="00857FEB"/>
    <w:rsid w:val="008600BE"/>
    <w:rsid w:val="00860B95"/>
    <w:rsid w:val="008616E0"/>
    <w:rsid w:val="00862050"/>
    <w:rsid w:val="008624AD"/>
    <w:rsid w:val="008624F0"/>
    <w:rsid w:val="008646B0"/>
    <w:rsid w:val="00864B45"/>
    <w:rsid w:val="008666D2"/>
    <w:rsid w:val="00871B05"/>
    <w:rsid w:val="008720EB"/>
    <w:rsid w:val="008735BA"/>
    <w:rsid w:val="00873E5C"/>
    <w:rsid w:val="008753FC"/>
    <w:rsid w:val="00876169"/>
    <w:rsid w:val="008777AA"/>
    <w:rsid w:val="008802A6"/>
    <w:rsid w:val="00880A18"/>
    <w:rsid w:val="008812FB"/>
    <w:rsid w:val="00882814"/>
    <w:rsid w:val="00884B23"/>
    <w:rsid w:val="008864B9"/>
    <w:rsid w:val="00886E97"/>
    <w:rsid w:val="00891692"/>
    <w:rsid w:val="00892002"/>
    <w:rsid w:val="008934AE"/>
    <w:rsid w:val="008934E6"/>
    <w:rsid w:val="00896454"/>
    <w:rsid w:val="008A371F"/>
    <w:rsid w:val="008A46A9"/>
    <w:rsid w:val="008A4E92"/>
    <w:rsid w:val="008A5A3F"/>
    <w:rsid w:val="008A646F"/>
    <w:rsid w:val="008A702B"/>
    <w:rsid w:val="008A7174"/>
    <w:rsid w:val="008A76EC"/>
    <w:rsid w:val="008A7EC5"/>
    <w:rsid w:val="008B1BE5"/>
    <w:rsid w:val="008B378C"/>
    <w:rsid w:val="008B3929"/>
    <w:rsid w:val="008B3C2F"/>
    <w:rsid w:val="008B4118"/>
    <w:rsid w:val="008B4208"/>
    <w:rsid w:val="008B45D6"/>
    <w:rsid w:val="008B4CB3"/>
    <w:rsid w:val="008B54B2"/>
    <w:rsid w:val="008B720C"/>
    <w:rsid w:val="008B731A"/>
    <w:rsid w:val="008C2425"/>
    <w:rsid w:val="008C2444"/>
    <w:rsid w:val="008C2981"/>
    <w:rsid w:val="008C3066"/>
    <w:rsid w:val="008C3F57"/>
    <w:rsid w:val="008C46FD"/>
    <w:rsid w:val="008C5B1C"/>
    <w:rsid w:val="008C67AF"/>
    <w:rsid w:val="008C69AF"/>
    <w:rsid w:val="008C78FD"/>
    <w:rsid w:val="008D0EBE"/>
    <w:rsid w:val="008D2355"/>
    <w:rsid w:val="008D2FA9"/>
    <w:rsid w:val="008D3CEA"/>
    <w:rsid w:val="008D4044"/>
    <w:rsid w:val="008D5B01"/>
    <w:rsid w:val="008E22BC"/>
    <w:rsid w:val="008E29B4"/>
    <w:rsid w:val="008E35E2"/>
    <w:rsid w:val="008E5F59"/>
    <w:rsid w:val="008E7AC3"/>
    <w:rsid w:val="008F0C84"/>
    <w:rsid w:val="008F18F5"/>
    <w:rsid w:val="008F1B70"/>
    <w:rsid w:val="008F2143"/>
    <w:rsid w:val="008F4A4F"/>
    <w:rsid w:val="008F4A8D"/>
    <w:rsid w:val="008F4E24"/>
    <w:rsid w:val="00900C34"/>
    <w:rsid w:val="00901121"/>
    <w:rsid w:val="00901DEF"/>
    <w:rsid w:val="00902FF2"/>
    <w:rsid w:val="00903B67"/>
    <w:rsid w:val="00905B6D"/>
    <w:rsid w:val="0090647C"/>
    <w:rsid w:val="0090651A"/>
    <w:rsid w:val="0091000A"/>
    <w:rsid w:val="00910642"/>
    <w:rsid w:val="009108EE"/>
    <w:rsid w:val="009160BB"/>
    <w:rsid w:val="009166AD"/>
    <w:rsid w:val="00917821"/>
    <w:rsid w:val="00917BAC"/>
    <w:rsid w:val="00921A22"/>
    <w:rsid w:val="00924923"/>
    <w:rsid w:val="009256D4"/>
    <w:rsid w:val="00927293"/>
    <w:rsid w:val="009311C8"/>
    <w:rsid w:val="00933376"/>
    <w:rsid w:val="009336FC"/>
    <w:rsid w:val="00934058"/>
    <w:rsid w:val="00935FC8"/>
    <w:rsid w:val="00937CE6"/>
    <w:rsid w:val="00940C5F"/>
    <w:rsid w:val="00942355"/>
    <w:rsid w:val="00943F25"/>
    <w:rsid w:val="00944F01"/>
    <w:rsid w:val="00945691"/>
    <w:rsid w:val="00946D29"/>
    <w:rsid w:val="0095050D"/>
    <w:rsid w:val="00950B32"/>
    <w:rsid w:val="009513C2"/>
    <w:rsid w:val="0095259F"/>
    <w:rsid w:val="009534EF"/>
    <w:rsid w:val="0095352B"/>
    <w:rsid w:val="00955A7F"/>
    <w:rsid w:val="00957194"/>
    <w:rsid w:val="0095738D"/>
    <w:rsid w:val="0095748C"/>
    <w:rsid w:val="0096077C"/>
    <w:rsid w:val="0096143B"/>
    <w:rsid w:val="00961C28"/>
    <w:rsid w:val="00961FA7"/>
    <w:rsid w:val="009627A5"/>
    <w:rsid w:val="00962C56"/>
    <w:rsid w:val="00964BBF"/>
    <w:rsid w:val="00964F30"/>
    <w:rsid w:val="00965FD5"/>
    <w:rsid w:val="009668DE"/>
    <w:rsid w:val="00967346"/>
    <w:rsid w:val="00967A0C"/>
    <w:rsid w:val="009711D9"/>
    <w:rsid w:val="009718F9"/>
    <w:rsid w:val="00973153"/>
    <w:rsid w:val="00975112"/>
    <w:rsid w:val="00975202"/>
    <w:rsid w:val="009753D7"/>
    <w:rsid w:val="00975BFB"/>
    <w:rsid w:val="00977002"/>
    <w:rsid w:val="009774C4"/>
    <w:rsid w:val="009811DF"/>
    <w:rsid w:val="00981FA7"/>
    <w:rsid w:val="00982B90"/>
    <w:rsid w:val="00982E82"/>
    <w:rsid w:val="00983333"/>
    <w:rsid w:val="00983A7C"/>
    <w:rsid w:val="00983F98"/>
    <w:rsid w:val="00984D7B"/>
    <w:rsid w:val="00991B5F"/>
    <w:rsid w:val="00991C2E"/>
    <w:rsid w:val="00997999"/>
    <w:rsid w:val="009A0FF6"/>
    <w:rsid w:val="009A15FA"/>
    <w:rsid w:val="009A342B"/>
    <w:rsid w:val="009A3B71"/>
    <w:rsid w:val="009A3CA0"/>
    <w:rsid w:val="009A46D7"/>
    <w:rsid w:val="009A513F"/>
    <w:rsid w:val="009A542C"/>
    <w:rsid w:val="009A61BC"/>
    <w:rsid w:val="009A6527"/>
    <w:rsid w:val="009A676D"/>
    <w:rsid w:val="009A727A"/>
    <w:rsid w:val="009B1466"/>
    <w:rsid w:val="009B1A91"/>
    <w:rsid w:val="009B23D3"/>
    <w:rsid w:val="009B24B7"/>
    <w:rsid w:val="009B41E7"/>
    <w:rsid w:val="009B424D"/>
    <w:rsid w:val="009B57FB"/>
    <w:rsid w:val="009B7337"/>
    <w:rsid w:val="009B7709"/>
    <w:rsid w:val="009C1AC6"/>
    <w:rsid w:val="009C1C75"/>
    <w:rsid w:val="009C30FF"/>
    <w:rsid w:val="009C367C"/>
    <w:rsid w:val="009C37AE"/>
    <w:rsid w:val="009C42BC"/>
    <w:rsid w:val="009C4AAC"/>
    <w:rsid w:val="009C4F04"/>
    <w:rsid w:val="009C6081"/>
    <w:rsid w:val="009C692B"/>
    <w:rsid w:val="009C7398"/>
    <w:rsid w:val="009D277F"/>
    <w:rsid w:val="009D49BD"/>
    <w:rsid w:val="009D4AA1"/>
    <w:rsid w:val="009D7120"/>
    <w:rsid w:val="009D7DFA"/>
    <w:rsid w:val="009E042D"/>
    <w:rsid w:val="009E1B8B"/>
    <w:rsid w:val="009E37E6"/>
    <w:rsid w:val="009E5227"/>
    <w:rsid w:val="009E539D"/>
    <w:rsid w:val="009E584D"/>
    <w:rsid w:val="009E6427"/>
    <w:rsid w:val="009E71C1"/>
    <w:rsid w:val="009F3851"/>
    <w:rsid w:val="00A02980"/>
    <w:rsid w:val="00A04081"/>
    <w:rsid w:val="00A043B4"/>
    <w:rsid w:val="00A04DC0"/>
    <w:rsid w:val="00A06827"/>
    <w:rsid w:val="00A07737"/>
    <w:rsid w:val="00A07D00"/>
    <w:rsid w:val="00A10614"/>
    <w:rsid w:val="00A10E98"/>
    <w:rsid w:val="00A11768"/>
    <w:rsid w:val="00A12458"/>
    <w:rsid w:val="00A13499"/>
    <w:rsid w:val="00A140D0"/>
    <w:rsid w:val="00A149C1"/>
    <w:rsid w:val="00A14A93"/>
    <w:rsid w:val="00A14FD5"/>
    <w:rsid w:val="00A152BA"/>
    <w:rsid w:val="00A158FA"/>
    <w:rsid w:val="00A167EA"/>
    <w:rsid w:val="00A2172A"/>
    <w:rsid w:val="00A21A93"/>
    <w:rsid w:val="00A21B3B"/>
    <w:rsid w:val="00A2455B"/>
    <w:rsid w:val="00A245B7"/>
    <w:rsid w:val="00A25B4A"/>
    <w:rsid w:val="00A2646F"/>
    <w:rsid w:val="00A27328"/>
    <w:rsid w:val="00A277F9"/>
    <w:rsid w:val="00A30A47"/>
    <w:rsid w:val="00A30E68"/>
    <w:rsid w:val="00A31885"/>
    <w:rsid w:val="00A33763"/>
    <w:rsid w:val="00A34AA0"/>
    <w:rsid w:val="00A35B30"/>
    <w:rsid w:val="00A35BEC"/>
    <w:rsid w:val="00A373C4"/>
    <w:rsid w:val="00A37B8E"/>
    <w:rsid w:val="00A41EFC"/>
    <w:rsid w:val="00A4371E"/>
    <w:rsid w:val="00A44748"/>
    <w:rsid w:val="00A46876"/>
    <w:rsid w:val="00A46C09"/>
    <w:rsid w:val="00A47733"/>
    <w:rsid w:val="00A511CD"/>
    <w:rsid w:val="00A541AB"/>
    <w:rsid w:val="00A551E6"/>
    <w:rsid w:val="00A56946"/>
    <w:rsid w:val="00A56E1D"/>
    <w:rsid w:val="00A578D8"/>
    <w:rsid w:val="00A60092"/>
    <w:rsid w:val="00A61759"/>
    <w:rsid w:val="00A63889"/>
    <w:rsid w:val="00A6421B"/>
    <w:rsid w:val="00A64A23"/>
    <w:rsid w:val="00A65FF9"/>
    <w:rsid w:val="00A67768"/>
    <w:rsid w:val="00A70E93"/>
    <w:rsid w:val="00A71A15"/>
    <w:rsid w:val="00A726EB"/>
    <w:rsid w:val="00A74DEC"/>
    <w:rsid w:val="00A76D10"/>
    <w:rsid w:val="00A76DC7"/>
    <w:rsid w:val="00A77D7A"/>
    <w:rsid w:val="00A80601"/>
    <w:rsid w:val="00A84AEB"/>
    <w:rsid w:val="00A84B60"/>
    <w:rsid w:val="00A84E68"/>
    <w:rsid w:val="00A84F62"/>
    <w:rsid w:val="00A8630D"/>
    <w:rsid w:val="00A86E46"/>
    <w:rsid w:val="00A87B6C"/>
    <w:rsid w:val="00A908F9"/>
    <w:rsid w:val="00A91B1B"/>
    <w:rsid w:val="00A92845"/>
    <w:rsid w:val="00A932DA"/>
    <w:rsid w:val="00A9351D"/>
    <w:rsid w:val="00A94A09"/>
    <w:rsid w:val="00A95DB2"/>
    <w:rsid w:val="00A967EE"/>
    <w:rsid w:val="00AA4277"/>
    <w:rsid w:val="00AA48FF"/>
    <w:rsid w:val="00AA4C2B"/>
    <w:rsid w:val="00AA4D58"/>
    <w:rsid w:val="00AA5B94"/>
    <w:rsid w:val="00AA6265"/>
    <w:rsid w:val="00AA6C0F"/>
    <w:rsid w:val="00AA7404"/>
    <w:rsid w:val="00AB0659"/>
    <w:rsid w:val="00AB4880"/>
    <w:rsid w:val="00AB5963"/>
    <w:rsid w:val="00AB762B"/>
    <w:rsid w:val="00AB78E0"/>
    <w:rsid w:val="00AC00D2"/>
    <w:rsid w:val="00AC0810"/>
    <w:rsid w:val="00AC0B3D"/>
    <w:rsid w:val="00AC1ED1"/>
    <w:rsid w:val="00AC211D"/>
    <w:rsid w:val="00AC3701"/>
    <w:rsid w:val="00AC49D8"/>
    <w:rsid w:val="00AC523C"/>
    <w:rsid w:val="00AC567F"/>
    <w:rsid w:val="00AD0CCB"/>
    <w:rsid w:val="00AD0D21"/>
    <w:rsid w:val="00AD1DDD"/>
    <w:rsid w:val="00AD24CE"/>
    <w:rsid w:val="00AD279E"/>
    <w:rsid w:val="00AD2B89"/>
    <w:rsid w:val="00AD3049"/>
    <w:rsid w:val="00AD3A3C"/>
    <w:rsid w:val="00AD4A0F"/>
    <w:rsid w:val="00AD58CF"/>
    <w:rsid w:val="00AD5C2E"/>
    <w:rsid w:val="00AD5CFB"/>
    <w:rsid w:val="00AD6A8B"/>
    <w:rsid w:val="00AE0629"/>
    <w:rsid w:val="00AE11B7"/>
    <w:rsid w:val="00AE1D85"/>
    <w:rsid w:val="00AE3966"/>
    <w:rsid w:val="00AE418C"/>
    <w:rsid w:val="00AE4E07"/>
    <w:rsid w:val="00AE5230"/>
    <w:rsid w:val="00AE5901"/>
    <w:rsid w:val="00AE6D8C"/>
    <w:rsid w:val="00AE77B6"/>
    <w:rsid w:val="00AF0612"/>
    <w:rsid w:val="00AF0888"/>
    <w:rsid w:val="00AF2170"/>
    <w:rsid w:val="00AF2F4F"/>
    <w:rsid w:val="00AF329F"/>
    <w:rsid w:val="00AF36B0"/>
    <w:rsid w:val="00AF5E80"/>
    <w:rsid w:val="00AF612D"/>
    <w:rsid w:val="00AF6CAF"/>
    <w:rsid w:val="00AF7691"/>
    <w:rsid w:val="00AF7F47"/>
    <w:rsid w:val="00B00A55"/>
    <w:rsid w:val="00B00F22"/>
    <w:rsid w:val="00B06444"/>
    <w:rsid w:val="00B0686B"/>
    <w:rsid w:val="00B06C4D"/>
    <w:rsid w:val="00B06CE6"/>
    <w:rsid w:val="00B06D4B"/>
    <w:rsid w:val="00B1151F"/>
    <w:rsid w:val="00B13344"/>
    <w:rsid w:val="00B142B1"/>
    <w:rsid w:val="00B1581D"/>
    <w:rsid w:val="00B1678C"/>
    <w:rsid w:val="00B201ED"/>
    <w:rsid w:val="00B214B2"/>
    <w:rsid w:val="00B24584"/>
    <w:rsid w:val="00B24C4A"/>
    <w:rsid w:val="00B25CD9"/>
    <w:rsid w:val="00B26CCF"/>
    <w:rsid w:val="00B27C53"/>
    <w:rsid w:val="00B30004"/>
    <w:rsid w:val="00B30353"/>
    <w:rsid w:val="00B316B9"/>
    <w:rsid w:val="00B322C1"/>
    <w:rsid w:val="00B34C1E"/>
    <w:rsid w:val="00B35331"/>
    <w:rsid w:val="00B36546"/>
    <w:rsid w:val="00B412E6"/>
    <w:rsid w:val="00B424BA"/>
    <w:rsid w:val="00B42B67"/>
    <w:rsid w:val="00B45A51"/>
    <w:rsid w:val="00B45C9E"/>
    <w:rsid w:val="00B464BB"/>
    <w:rsid w:val="00B46DA5"/>
    <w:rsid w:val="00B51544"/>
    <w:rsid w:val="00B52E2F"/>
    <w:rsid w:val="00B531DD"/>
    <w:rsid w:val="00B5432A"/>
    <w:rsid w:val="00B54564"/>
    <w:rsid w:val="00B55390"/>
    <w:rsid w:val="00B56A07"/>
    <w:rsid w:val="00B56D45"/>
    <w:rsid w:val="00B572E8"/>
    <w:rsid w:val="00B603B4"/>
    <w:rsid w:val="00B60860"/>
    <w:rsid w:val="00B626E0"/>
    <w:rsid w:val="00B63309"/>
    <w:rsid w:val="00B645D2"/>
    <w:rsid w:val="00B65915"/>
    <w:rsid w:val="00B6640E"/>
    <w:rsid w:val="00B673E2"/>
    <w:rsid w:val="00B67E6B"/>
    <w:rsid w:val="00B70CF4"/>
    <w:rsid w:val="00B717B0"/>
    <w:rsid w:val="00B71DC2"/>
    <w:rsid w:val="00B73546"/>
    <w:rsid w:val="00B74DD5"/>
    <w:rsid w:val="00B74F88"/>
    <w:rsid w:val="00B76565"/>
    <w:rsid w:val="00B76A6E"/>
    <w:rsid w:val="00B76C7F"/>
    <w:rsid w:val="00B83CE3"/>
    <w:rsid w:val="00B84346"/>
    <w:rsid w:val="00B84A83"/>
    <w:rsid w:val="00B879C7"/>
    <w:rsid w:val="00B90D3F"/>
    <w:rsid w:val="00B90DA2"/>
    <w:rsid w:val="00B93893"/>
    <w:rsid w:val="00B95E58"/>
    <w:rsid w:val="00B95FC2"/>
    <w:rsid w:val="00B979F2"/>
    <w:rsid w:val="00B97DCD"/>
    <w:rsid w:val="00BA06AC"/>
    <w:rsid w:val="00BA1B1C"/>
    <w:rsid w:val="00BA2CB0"/>
    <w:rsid w:val="00BA3472"/>
    <w:rsid w:val="00BA4CC7"/>
    <w:rsid w:val="00BA537F"/>
    <w:rsid w:val="00BA5E9E"/>
    <w:rsid w:val="00BA770E"/>
    <w:rsid w:val="00BA77F1"/>
    <w:rsid w:val="00BA7A60"/>
    <w:rsid w:val="00BA7EDA"/>
    <w:rsid w:val="00BB06B0"/>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D8C"/>
    <w:rsid w:val="00BD0F12"/>
    <w:rsid w:val="00BD1454"/>
    <w:rsid w:val="00BD4929"/>
    <w:rsid w:val="00BD5BAC"/>
    <w:rsid w:val="00BD5DFC"/>
    <w:rsid w:val="00BD7074"/>
    <w:rsid w:val="00BD7958"/>
    <w:rsid w:val="00BD7AE6"/>
    <w:rsid w:val="00BD7E84"/>
    <w:rsid w:val="00BE0B32"/>
    <w:rsid w:val="00BE2497"/>
    <w:rsid w:val="00BE2BD9"/>
    <w:rsid w:val="00BE458E"/>
    <w:rsid w:val="00BE5564"/>
    <w:rsid w:val="00BF1365"/>
    <w:rsid w:val="00BF2B59"/>
    <w:rsid w:val="00BF2C4F"/>
    <w:rsid w:val="00BF37A3"/>
    <w:rsid w:val="00BF3D01"/>
    <w:rsid w:val="00BF5B51"/>
    <w:rsid w:val="00C00B67"/>
    <w:rsid w:val="00C00F4E"/>
    <w:rsid w:val="00C01061"/>
    <w:rsid w:val="00C010DC"/>
    <w:rsid w:val="00C02E0F"/>
    <w:rsid w:val="00C04B71"/>
    <w:rsid w:val="00C05264"/>
    <w:rsid w:val="00C05318"/>
    <w:rsid w:val="00C10869"/>
    <w:rsid w:val="00C11562"/>
    <w:rsid w:val="00C117E2"/>
    <w:rsid w:val="00C12C00"/>
    <w:rsid w:val="00C12E90"/>
    <w:rsid w:val="00C12EB9"/>
    <w:rsid w:val="00C1320B"/>
    <w:rsid w:val="00C14CC1"/>
    <w:rsid w:val="00C1667D"/>
    <w:rsid w:val="00C206F1"/>
    <w:rsid w:val="00C20FF3"/>
    <w:rsid w:val="00C21CED"/>
    <w:rsid w:val="00C21FB0"/>
    <w:rsid w:val="00C26035"/>
    <w:rsid w:val="00C26079"/>
    <w:rsid w:val="00C27206"/>
    <w:rsid w:val="00C30AC1"/>
    <w:rsid w:val="00C31651"/>
    <w:rsid w:val="00C3189F"/>
    <w:rsid w:val="00C3256E"/>
    <w:rsid w:val="00C33340"/>
    <w:rsid w:val="00C3445F"/>
    <w:rsid w:val="00C3569E"/>
    <w:rsid w:val="00C35A91"/>
    <w:rsid w:val="00C371A6"/>
    <w:rsid w:val="00C371FD"/>
    <w:rsid w:val="00C405FB"/>
    <w:rsid w:val="00C40C60"/>
    <w:rsid w:val="00C41379"/>
    <w:rsid w:val="00C42F03"/>
    <w:rsid w:val="00C43022"/>
    <w:rsid w:val="00C43A34"/>
    <w:rsid w:val="00C447C0"/>
    <w:rsid w:val="00C458C9"/>
    <w:rsid w:val="00C4671D"/>
    <w:rsid w:val="00C46B84"/>
    <w:rsid w:val="00C50ECF"/>
    <w:rsid w:val="00C51E61"/>
    <w:rsid w:val="00C52281"/>
    <w:rsid w:val="00C52E42"/>
    <w:rsid w:val="00C53426"/>
    <w:rsid w:val="00C54F30"/>
    <w:rsid w:val="00C54FEA"/>
    <w:rsid w:val="00C55E5A"/>
    <w:rsid w:val="00C56BE8"/>
    <w:rsid w:val="00C60E49"/>
    <w:rsid w:val="00C62A0B"/>
    <w:rsid w:val="00C63108"/>
    <w:rsid w:val="00C638E2"/>
    <w:rsid w:val="00C6537C"/>
    <w:rsid w:val="00C666E4"/>
    <w:rsid w:val="00C667D5"/>
    <w:rsid w:val="00C8014A"/>
    <w:rsid w:val="00C803EE"/>
    <w:rsid w:val="00C812F7"/>
    <w:rsid w:val="00C8330A"/>
    <w:rsid w:val="00C833B6"/>
    <w:rsid w:val="00C85838"/>
    <w:rsid w:val="00C86860"/>
    <w:rsid w:val="00C876B7"/>
    <w:rsid w:val="00C90846"/>
    <w:rsid w:val="00C91B2C"/>
    <w:rsid w:val="00C92CA5"/>
    <w:rsid w:val="00C93B39"/>
    <w:rsid w:val="00C95961"/>
    <w:rsid w:val="00CA0A69"/>
    <w:rsid w:val="00CA0E76"/>
    <w:rsid w:val="00CA40F8"/>
    <w:rsid w:val="00CA473C"/>
    <w:rsid w:val="00CA47D3"/>
    <w:rsid w:val="00CA52E3"/>
    <w:rsid w:val="00CA53DE"/>
    <w:rsid w:val="00CA58C3"/>
    <w:rsid w:val="00CA5BC9"/>
    <w:rsid w:val="00CA6A55"/>
    <w:rsid w:val="00CA6DEF"/>
    <w:rsid w:val="00CB0927"/>
    <w:rsid w:val="00CB1134"/>
    <w:rsid w:val="00CB156F"/>
    <w:rsid w:val="00CB1BBD"/>
    <w:rsid w:val="00CB2772"/>
    <w:rsid w:val="00CB3777"/>
    <w:rsid w:val="00CB4875"/>
    <w:rsid w:val="00CB4F2D"/>
    <w:rsid w:val="00CB5A73"/>
    <w:rsid w:val="00CB7096"/>
    <w:rsid w:val="00CC0BB4"/>
    <w:rsid w:val="00CC12DF"/>
    <w:rsid w:val="00CC4D8D"/>
    <w:rsid w:val="00CC63E0"/>
    <w:rsid w:val="00CC6BEA"/>
    <w:rsid w:val="00CC6FDD"/>
    <w:rsid w:val="00CD081A"/>
    <w:rsid w:val="00CD1689"/>
    <w:rsid w:val="00CD2492"/>
    <w:rsid w:val="00CD3B76"/>
    <w:rsid w:val="00CD47BA"/>
    <w:rsid w:val="00CD5427"/>
    <w:rsid w:val="00CD604A"/>
    <w:rsid w:val="00CD6791"/>
    <w:rsid w:val="00CD7B6F"/>
    <w:rsid w:val="00CE15C4"/>
    <w:rsid w:val="00CE2E6A"/>
    <w:rsid w:val="00CE2EA9"/>
    <w:rsid w:val="00CE41DA"/>
    <w:rsid w:val="00CE4CDA"/>
    <w:rsid w:val="00CE6D64"/>
    <w:rsid w:val="00CE733D"/>
    <w:rsid w:val="00CE74D9"/>
    <w:rsid w:val="00CF053F"/>
    <w:rsid w:val="00CF0A55"/>
    <w:rsid w:val="00CF301C"/>
    <w:rsid w:val="00CF6BC9"/>
    <w:rsid w:val="00CF7C8B"/>
    <w:rsid w:val="00D00180"/>
    <w:rsid w:val="00D00793"/>
    <w:rsid w:val="00D01D15"/>
    <w:rsid w:val="00D028C4"/>
    <w:rsid w:val="00D04083"/>
    <w:rsid w:val="00D078E1"/>
    <w:rsid w:val="00D102D2"/>
    <w:rsid w:val="00D10AEF"/>
    <w:rsid w:val="00D12A7F"/>
    <w:rsid w:val="00D131D6"/>
    <w:rsid w:val="00D135BA"/>
    <w:rsid w:val="00D13AD6"/>
    <w:rsid w:val="00D17A1D"/>
    <w:rsid w:val="00D20C77"/>
    <w:rsid w:val="00D210C8"/>
    <w:rsid w:val="00D218AC"/>
    <w:rsid w:val="00D221A6"/>
    <w:rsid w:val="00D232A2"/>
    <w:rsid w:val="00D23522"/>
    <w:rsid w:val="00D25C90"/>
    <w:rsid w:val="00D25F5C"/>
    <w:rsid w:val="00D26196"/>
    <w:rsid w:val="00D26BEF"/>
    <w:rsid w:val="00D279AE"/>
    <w:rsid w:val="00D30900"/>
    <w:rsid w:val="00D30F08"/>
    <w:rsid w:val="00D311EA"/>
    <w:rsid w:val="00D31C61"/>
    <w:rsid w:val="00D31E6D"/>
    <w:rsid w:val="00D323BE"/>
    <w:rsid w:val="00D32F98"/>
    <w:rsid w:val="00D345CB"/>
    <w:rsid w:val="00D358D8"/>
    <w:rsid w:val="00D365C5"/>
    <w:rsid w:val="00D36C95"/>
    <w:rsid w:val="00D405AB"/>
    <w:rsid w:val="00D41280"/>
    <w:rsid w:val="00D43528"/>
    <w:rsid w:val="00D43AB0"/>
    <w:rsid w:val="00D43D9F"/>
    <w:rsid w:val="00D45EB0"/>
    <w:rsid w:val="00D46125"/>
    <w:rsid w:val="00D469FD"/>
    <w:rsid w:val="00D47B53"/>
    <w:rsid w:val="00D52F46"/>
    <w:rsid w:val="00D53F8B"/>
    <w:rsid w:val="00D5423B"/>
    <w:rsid w:val="00D54F4E"/>
    <w:rsid w:val="00D55773"/>
    <w:rsid w:val="00D55865"/>
    <w:rsid w:val="00D56274"/>
    <w:rsid w:val="00D60BA4"/>
    <w:rsid w:val="00D61E03"/>
    <w:rsid w:val="00D62F23"/>
    <w:rsid w:val="00D6496B"/>
    <w:rsid w:val="00D6528F"/>
    <w:rsid w:val="00D67A7A"/>
    <w:rsid w:val="00D67F8F"/>
    <w:rsid w:val="00D711A5"/>
    <w:rsid w:val="00D713FF"/>
    <w:rsid w:val="00D72421"/>
    <w:rsid w:val="00D734E5"/>
    <w:rsid w:val="00D73F97"/>
    <w:rsid w:val="00D745A7"/>
    <w:rsid w:val="00D74D0A"/>
    <w:rsid w:val="00D767FA"/>
    <w:rsid w:val="00D80CCE"/>
    <w:rsid w:val="00D811BD"/>
    <w:rsid w:val="00D81D90"/>
    <w:rsid w:val="00D82202"/>
    <w:rsid w:val="00D83104"/>
    <w:rsid w:val="00D83137"/>
    <w:rsid w:val="00D85213"/>
    <w:rsid w:val="00D85684"/>
    <w:rsid w:val="00D85A93"/>
    <w:rsid w:val="00D872C9"/>
    <w:rsid w:val="00D87FF1"/>
    <w:rsid w:val="00D90214"/>
    <w:rsid w:val="00D92018"/>
    <w:rsid w:val="00D92483"/>
    <w:rsid w:val="00D92633"/>
    <w:rsid w:val="00D93CE9"/>
    <w:rsid w:val="00D947E9"/>
    <w:rsid w:val="00D94DB4"/>
    <w:rsid w:val="00D951CB"/>
    <w:rsid w:val="00DA0F6C"/>
    <w:rsid w:val="00DA11ED"/>
    <w:rsid w:val="00DA2288"/>
    <w:rsid w:val="00DA243E"/>
    <w:rsid w:val="00DA298C"/>
    <w:rsid w:val="00DA455D"/>
    <w:rsid w:val="00DA4D6F"/>
    <w:rsid w:val="00DA51A8"/>
    <w:rsid w:val="00DB030C"/>
    <w:rsid w:val="00DB2280"/>
    <w:rsid w:val="00DB403F"/>
    <w:rsid w:val="00DB4867"/>
    <w:rsid w:val="00DB4A3A"/>
    <w:rsid w:val="00DB4FA7"/>
    <w:rsid w:val="00DB7D94"/>
    <w:rsid w:val="00DC1AA9"/>
    <w:rsid w:val="00DC2000"/>
    <w:rsid w:val="00DC6E11"/>
    <w:rsid w:val="00DD1B91"/>
    <w:rsid w:val="00DD23AE"/>
    <w:rsid w:val="00DD368B"/>
    <w:rsid w:val="00DD6E29"/>
    <w:rsid w:val="00DE2D4D"/>
    <w:rsid w:val="00DE2DA8"/>
    <w:rsid w:val="00DE343C"/>
    <w:rsid w:val="00DE575C"/>
    <w:rsid w:val="00DE578A"/>
    <w:rsid w:val="00DE5D8B"/>
    <w:rsid w:val="00DE6AC5"/>
    <w:rsid w:val="00DE6E7E"/>
    <w:rsid w:val="00DE7DDA"/>
    <w:rsid w:val="00DF0A76"/>
    <w:rsid w:val="00DF1C8D"/>
    <w:rsid w:val="00DF1D1E"/>
    <w:rsid w:val="00DF1E0B"/>
    <w:rsid w:val="00DF2583"/>
    <w:rsid w:val="00DF4824"/>
    <w:rsid w:val="00DF54D9"/>
    <w:rsid w:val="00DF6973"/>
    <w:rsid w:val="00DF79E9"/>
    <w:rsid w:val="00E00687"/>
    <w:rsid w:val="00E008CB"/>
    <w:rsid w:val="00E021C8"/>
    <w:rsid w:val="00E03D32"/>
    <w:rsid w:val="00E03E8B"/>
    <w:rsid w:val="00E04465"/>
    <w:rsid w:val="00E04E34"/>
    <w:rsid w:val="00E05017"/>
    <w:rsid w:val="00E058C6"/>
    <w:rsid w:val="00E05FDB"/>
    <w:rsid w:val="00E10991"/>
    <w:rsid w:val="00E10DC6"/>
    <w:rsid w:val="00E10F03"/>
    <w:rsid w:val="00E11F8E"/>
    <w:rsid w:val="00E12B7F"/>
    <w:rsid w:val="00E145EA"/>
    <w:rsid w:val="00E15C34"/>
    <w:rsid w:val="00E17944"/>
    <w:rsid w:val="00E17BC5"/>
    <w:rsid w:val="00E20A86"/>
    <w:rsid w:val="00E22722"/>
    <w:rsid w:val="00E2347F"/>
    <w:rsid w:val="00E26B26"/>
    <w:rsid w:val="00E26E4E"/>
    <w:rsid w:val="00E276B2"/>
    <w:rsid w:val="00E33FD4"/>
    <w:rsid w:val="00E34ED6"/>
    <w:rsid w:val="00E3596E"/>
    <w:rsid w:val="00E364EF"/>
    <w:rsid w:val="00E4094E"/>
    <w:rsid w:val="00E40B70"/>
    <w:rsid w:val="00E42031"/>
    <w:rsid w:val="00E426A4"/>
    <w:rsid w:val="00E42D22"/>
    <w:rsid w:val="00E4573C"/>
    <w:rsid w:val="00E458E2"/>
    <w:rsid w:val="00E45F37"/>
    <w:rsid w:val="00E4642E"/>
    <w:rsid w:val="00E466F2"/>
    <w:rsid w:val="00E50A17"/>
    <w:rsid w:val="00E50BD4"/>
    <w:rsid w:val="00E51959"/>
    <w:rsid w:val="00E56173"/>
    <w:rsid w:val="00E56899"/>
    <w:rsid w:val="00E56ADD"/>
    <w:rsid w:val="00E575BA"/>
    <w:rsid w:val="00E5788D"/>
    <w:rsid w:val="00E57CC8"/>
    <w:rsid w:val="00E62286"/>
    <w:rsid w:val="00E634B6"/>
    <w:rsid w:val="00E634E3"/>
    <w:rsid w:val="00E645B1"/>
    <w:rsid w:val="00E6586E"/>
    <w:rsid w:val="00E659A6"/>
    <w:rsid w:val="00E71DCC"/>
    <w:rsid w:val="00E724F5"/>
    <w:rsid w:val="00E75C19"/>
    <w:rsid w:val="00E75D2C"/>
    <w:rsid w:val="00E760B3"/>
    <w:rsid w:val="00E80F31"/>
    <w:rsid w:val="00E82965"/>
    <w:rsid w:val="00E85102"/>
    <w:rsid w:val="00E85358"/>
    <w:rsid w:val="00E8592D"/>
    <w:rsid w:val="00E86633"/>
    <w:rsid w:val="00E876A6"/>
    <w:rsid w:val="00E9497F"/>
    <w:rsid w:val="00E96D0E"/>
    <w:rsid w:val="00EA0AA8"/>
    <w:rsid w:val="00EA14C5"/>
    <w:rsid w:val="00EA1765"/>
    <w:rsid w:val="00EA17AA"/>
    <w:rsid w:val="00EA26EF"/>
    <w:rsid w:val="00EA3241"/>
    <w:rsid w:val="00EA3B5F"/>
    <w:rsid w:val="00EA5786"/>
    <w:rsid w:val="00EA615D"/>
    <w:rsid w:val="00EA75C1"/>
    <w:rsid w:val="00EA7B10"/>
    <w:rsid w:val="00EB141A"/>
    <w:rsid w:val="00EB2DEB"/>
    <w:rsid w:val="00EB40BD"/>
    <w:rsid w:val="00EB428E"/>
    <w:rsid w:val="00EB6D1A"/>
    <w:rsid w:val="00EB7038"/>
    <w:rsid w:val="00EB7550"/>
    <w:rsid w:val="00EB7C2E"/>
    <w:rsid w:val="00EC0F04"/>
    <w:rsid w:val="00EC1309"/>
    <w:rsid w:val="00EC237D"/>
    <w:rsid w:val="00EC3951"/>
    <w:rsid w:val="00EC556D"/>
    <w:rsid w:val="00EC5F70"/>
    <w:rsid w:val="00EC6AAB"/>
    <w:rsid w:val="00EC6F2A"/>
    <w:rsid w:val="00ED2F32"/>
    <w:rsid w:val="00ED3801"/>
    <w:rsid w:val="00ED4248"/>
    <w:rsid w:val="00ED4717"/>
    <w:rsid w:val="00ED5CCE"/>
    <w:rsid w:val="00ED60CA"/>
    <w:rsid w:val="00ED64EF"/>
    <w:rsid w:val="00ED6CDA"/>
    <w:rsid w:val="00EE0CAE"/>
    <w:rsid w:val="00EE0EC3"/>
    <w:rsid w:val="00EE1819"/>
    <w:rsid w:val="00EE1A75"/>
    <w:rsid w:val="00EE1B9E"/>
    <w:rsid w:val="00EE1DC0"/>
    <w:rsid w:val="00EE4A1F"/>
    <w:rsid w:val="00EE53EA"/>
    <w:rsid w:val="00EE77E5"/>
    <w:rsid w:val="00EF009A"/>
    <w:rsid w:val="00EF0D0D"/>
    <w:rsid w:val="00EF0ED5"/>
    <w:rsid w:val="00EF1B5A"/>
    <w:rsid w:val="00EF1CE9"/>
    <w:rsid w:val="00EF2CCA"/>
    <w:rsid w:val="00EF61AC"/>
    <w:rsid w:val="00EF791D"/>
    <w:rsid w:val="00F008D7"/>
    <w:rsid w:val="00F01325"/>
    <w:rsid w:val="00F0172C"/>
    <w:rsid w:val="00F017B1"/>
    <w:rsid w:val="00F01875"/>
    <w:rsid w:val="00F01BA1"/>
    <w:rsid w:val="00F01BD8"/>
    <w:rsid w:val="00F03E1B"/>
    <w:rsid w:val="00F04D64"/>
    <w:rsid w:val="00F057E0"/>
    <w:rsid w:val="00F1094E"/>
    <w:rsid w:val="00F10ADF"/>
    <w:rsid w:val="00F115BC"/>
    <w:rsid w:val="00F13F47"/>
    <w:rsid w:val="00F16EBD"/>
    <w:rsid w:val="00F20911"/>
    <w:rsid w:val="00F210A5"/>
    <w:rsid w:val="00F214D5"/>
    <w:rsid w:val="00F229EF"/>
    <w:rsid w:val="00F22C62"/>
    <w:rsid w:val="00F24A31"/>
    <w:rsid w:val="00F24E4E"/>
    <w:rsid w:val="00F25B7F"/>
    <w:rsid w:val="00F26059"/>
    <w:rsid w:val="00F2608D"/>
    <w:rsid w:val="00F265B6"/>
    <w:rsid w:val="00F313B0"/>
    <w:rsid w:val="00F33E73"/>
    <w:rsid w:val="00F343DA"/>
    <w:rsid w:val="00F359F8"/>
    <w:rsid w:val="00F3640D"/>
    <w:rsid w:val="00F3652C"/>
    <w:rsid w:val="00F366F4"/>
    <w:rsid w:val="00F36803"/>
    <w:rsid w:val="00F376A8"/>
    <w:rsid w:val="00F4074B"/>
    <w:rsid w:val="00F42849"/>
    <w:rsid w:val="00F42AA7"/>
    <w:rsid w:val="00F437CA"/>
    <w:rsid w:val="00F43D1A"/>
    <w:rsid w:val="00F43E8A"/>
    <w:rsid w:val="00F45528"/>
    <w:rsid w:val="00F458F2"/>
    <w:rsid w:val="00F462E9"/>
    <w:rsid w:val="00F46889"/>
    <w:rsid w:val="00F46AA1"/>
    <w:rsid w:val="00F47235"/>
    <w:rsid w:val="00F47A9A"/>
    <w:rsid w:val="00F50554"/>
    <w:rsid w:val="00F51771"/>
    <w:rsid w:val="00F53F91"/>
    <w:rsid w:val="00F56255"/>
    <w:rsid w:val="00F569DF"/>
    <w:rsid w:val="00F56DE6"/>
    <w:rsid w:val="00F57321"/>
    <w:rsid w:val="00F578E8"/>
    <w:rsid w:val="00F57CD4"/>
    <w:rsid w:val="00F613E9"/>
    <w:rsid w:val="00F6168C"/>
    <w:rsid w:val="00F61A72"/>
    <w:rsid w:val="00F62D1F"/>
    <w:rsid w:val="00F6371E"/>
    <w:rsid w:val="00F63E0E"/>
    <w:rsid w:val="00F65951"/>
    <w:rsid w:val="00F65C70"/>
    <w:rsid w:val="00F65DE4"/>
    <w:rsid w:val="00F66F13"/>
    <w:rsid w:val="00F74073"/>
    <w:rsid w:val="00F74AC4"/>
    <w:rsid w:val="00F74D7D"/>
    <w:rsid w:val="00F7614E"/>
    <w:rsid w:val="00F77453"/>
    <w:rsid w:val="00F80F82"/>
    <w:rsid w:val="00F8189F"/>
    <w:rsid w:val="00F81A04"/>
    <w:rsid w:val="00F82432"/>
    <w:rsid w:val="00F82517"/>
    <w:rsid w:val="00F833BC"/>
    <w:rsid w:val="00F84116"/>
    <w:rsid w:val="00F8524E"/>
    <w:rsid w:val="00F86460"/>
    <w:rsid w:val="00F8778E"/>
    <w:rsid w:val="00F87D67"/>
    <w:rsid w:val="00F87D80"/>
    <w:rsid w:val="00F90E04"/>
    <w:rsid w:val="00F9189A"/>
    <w:rsid w:val="00F91E26"/>
    <w:rsid w:val="00F928C5"/>
    <w:rsid w:val="00F9482C"/>
    <w:rsid w:val="00F96F37"/>
    <w:rsid w:val="00F970A1"/>
    <w:rsid w:val="00FA1759"/>
    <w:rsid w:val="00FA1B67"/>
    <w:rsid w:val="00FA277B"/>
    <w:rsid w:val="00FA376F"/>
    <w:rsid w:val="00FB06ED"/>
    <w:rsid w:val="00FB76DB"/>
    <w:rsid w:val="00FC084D"/>
    <w:rsid w:val="00FC0EC7"/>
    <w:rsid w:val="00FC36AB"/>
    <w:rsid w:val="00FC3F21"/>
    <w:rsid w:val="00FC4107"/>
    <w:rsid w:val="00FC5A5F"/>
    <w:rsid w:val="00FC5C40"/>
    <w:rsid w:val="00FC6AB4"/>
    <w:rsid w:val="00FC6EC6"/>
    <w:rsid w:val="00FC79A4"/>
    <w:rsid w:val="00FD09E3"/>
    <w:rsid w:val="00FD1727"/>
    <w:rsid w:val="00FD1D6B"/>
    <w:rsid w:val="00FD2798"/>
    <w:rsid w:val="00FD2A72"/>
    <w:rsid w:val="00FD5819"/>
    <w:rsid w:val="00FE15EB"/>
    <w:rsid w:val="00FE1DEC"/>
    <w:rsid w:val="00FE4F08"/>
    <w:rsid w:val="00FE5C0A"/>
    <w:rsid w:val="00FE64E4"/>
    <w:rsid w:val="00FE7E5D"/>
    <w:rsid w:val="00FF0D35"/>
    <w:rsid w:val="00FF0DF2"/>
    <w:rsid w:val="00FF3A5A"/>
    <w:rsid w:val="00FF5128"/>
    <w:rsid w:val="00FF58F4"/>
    <w:rsid w:val="00FF6E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fill="f" fillcolor="white" stroke="f">
      <v:fill color="white" on="f"/>
      <v:stroke on="f"/>
    </o:shapedefaults>
    <o:shapelayout v:ext="edit">
      <o:idmap v:ext="edit" data="1"/>
    </o:shapelayout>
  </w:shapeDefaults>
  <w:decimalSymbol w:val=","/>
  <w:listSeparator w:val=";"/>
  <w14:docId w14:val="3D10B42B"/>
  <w15:docId w15:val="{BBCB0886-5838-4EA2-B6FE-B86CDCFEA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34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link w:val="EndnoteTextChar"/>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character" w:styleId="Emphasis">
    <w:name w:val="Emphasis"/>
    <w:uiPriority w:val="20"/>
    <w:qFormat/>
    <w:rsid w:val="00061A91"/>
    <w:rPr>
      <w:i/>
      <w:iCs/>
    </w:rPr>
  </w:style>
  <w:style w:type="character" w:customStyle="1" w:styleId="EndnoteTextChar">
    <w:name w:val="Endnote Text Char"/>
    <w:link w:val="EndnoteText"/>
    <w:semiHidden/>
    <w:rsid w:val="00061A91"/>
    <w:rPr>
      <w:rFonts w:ascii="Verdana" w:hAnsi="Verdana"/>
    </w:rPr>
  </w:style>
  <w:style w:type="character" w:styleId="Strong">
    <w:name w:val="Strong"/>
    <w:uiPriority w:val="22"/>
    <w:qFormat/>
    <w:rsid w:val="009C6081"/>
    <w:rPr>
      <w:b/>
      <w:bCs/>
    </w:rPr>
  </w:style>
  <w:style w:type="character" w:customStyle="1" w:styleId="totaldonation">
    <w:name w:val="total_donation"/>
    <w:rsid w:val="00FE7E5D"/>
  </w:style>
  <w:style w:type="paragraph" w:styleId="ListParagraph">
    <w:name w:val="List Paragraph"/>
    <w:basedOn w:val="Normal"/>
    <w:uiPriority w:val="34"/>
    <w:qFormat/>
    <w:rsid w:val="00B45A51"/>
    <w:pPr>
      <w:spacing w:line="240" w:lineRule="auto"/>
      <w:ind w:left="720"/>
    </w:pPr>
    <w:rPr>
      <w:rFonts w:ascii="Calibri" w:eastAsiaTheme="minorHAnsi" w:hAnsi="Calibri"/>
      <w:sz w:val="22"/>
      <w:szCs w:val="22"/>
    </w:rPr>
  </w:style>
  <w:style w:type="character" w:customStyle="1" w:styleId="normaltextrun">
    <w:name w:val="normaltextrun"/>
    <w:basedOn w:val="DefaultParagraphFont"/>
    <w:rsid w:val="00441FB3"/>
  </w:style>
  <w:style w:type="character" w:customStyle="1" w:styleId="FooterChar">
    <w:name w:val="Footer Char"/>
    <w:basedOn w:val="DefaultParagraphFont"/>
    <w:link w:val="Footer"/>
    <w:uiPriority w:val="99"/>
    <w:rsid w:val="00194F38"/>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1930700338">
      <w:bodyDiv w:val="1"/>
      <w:marLeft w:val="0"/>
      <w:marRight w:val="0"/>
      <w:marTop w:val="0"/>
      <w:marBottom w:val="0"/>
      <w:divBdr>
        <w:top w:val="none" w:sz="0" w:space="0" w:color="auto"/>
        <w:left w:val="none" w:sz="0" w:space="0" w:color="auto"/>
        <w:bottom w:val="none" w:sz="0" w:space="0" w:color="auto"/>
        <w:right w:val="none" w:sz="0" w:space="0" w:color="auto"/>
      </w:divBdr>
    </w:div>
    <w:div w:id="1953201320">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8C13-596C-414D-A1BA-C706D26A2A9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C5E805D-8C8E-4847-9AF5-6E72F70C8E72}">
  <ds:schemaRefs>
    <ds:schemaRef ds:uri="http://schemas.microsoft.com/office/2006/metadata/longProperties"/>
  </ds:schemaRefs>
</ds:datastoreItem>
</file>

<file path=customXml/itemProps3.xml><?xml version="1.0" encoding="utf-8"?>
<ds:datastoreItem xmlns:ds="http://schemas.openxmlformats.org/officeDocument/2006/customXml" ds:itemID="{C0455CCE-4BFB-4335-AD90-EE64532FF841}">
  <ds:schemaRefs>
    <ds:schemaRef ds:uri="http://schemas.microsoft.com/sharepoint/v3/contenttype/forms"/>
  </ds:schemaRefs>
</ds:datastoreItem>
</file>

<file path=customXml/itemProps4.xml><?xml version="1.0" encoding="utf-8"?>
<ds:datastoreItem xmlns:ds="http://schemas.openxmlformats.org/officeDocument/2006/customXml" ds:itemID="{155B3FF9-0565-403A-83D9-70A50088A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6E4CC20-3A8F-494E-8B98-3D366F5A3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2B63F4F6</Template>
  <TotalTime>11</TotalTime>
  <Pages>22</Pages>
  <Words>7549</Words>
  <Characters>46714</Characters>
  <Application>Microsoft Office Word</Application>
  <DocSecurity>0</DocSecurity>
  <Lines>389</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54155</CharactersWithSpaces>
  <SharedDoc>false</SharedDoc>
  <HLinks>
    <vt:vector size="18" baseType="variant">
      <vt:variant>
        <vt:i4>2752564</vt:i4>
      </vt:variant>
      <vt:variant>
        <vt:i4>81</vt:i4>
      </vt:variant>
      <vt:variant>
        <vt:i4>0</vt:i4>
      </vt:variant>
      <vt:variant>
        <vt:i4>5</vt:i4>
      </vt:variant>
      <vt:variant>
        <vt:lpwstr>http://www.unocha.org/</vt:lpwstr>
      </vt:variant>
      <vt:variant>
        <vt:lpwstr/>
      </vt:variant>
      <vt:variant>
        <vt:i4>1048630</vt:i4>
      </vt:variant>
      <vt:variant>
        <vt:i4>3</vt:i4>
      </vt:variant>
      <vt:variant>
        <vt:i4>0</vt:i4>
      </vt:variant>
      <vt:variant>
        <vt:i4>5</vt:i4>
      </vt:variant>
      <vt:variant>
        <vt:lpwstr>https://docs.unocha.org/sites/dms/Documents/OCHA_P_B_2017.pdf</vt:lpwstr>
      </vt:variant>
      <vt:variant>
        <vt:lpwstr/>
      </vt:variant>
      <vt:variant>
        <vt:i4>1048630</vt:i4>
      </vt:variant>
      <vt:variant>
        <vt:i4>0</vt:i4>
      </vt:variant>
      <vt:variant>
        <vt:i4>0</vt:i4>
      </vt:variant>
      <vt:variant>
        <vt:i4>5</vt:i4>
      </vt:variant>
      <vt:variant>
        <vt:lpwstr>https://docs.unocha.org/sites/dms/Documents/OCHA_P_B_2017.pdf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Hengelaar, Dieke</cp:lastModifiedBy>
  <cp:revision>7</cp:revision>
  <cp:lastPrinted>2017-02-03T12:54:00Z</cp:lastPrinted>
  <dcterms:created xsi:type="dcterms:W3CDTF">2017-08-09T14:40:00Z</dcterms:created>
  <dcterms:modified xsi:type="dcterms:W3CDTF">2017-08-25T13:52:00Z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y fmtid="{D5CDD505-2E9C-101B-9397-08002B2CF9AE}" pid="20" name="BZ_Classification">
    <vt:lpwstr>4;#Niet-gerubriceerd|d92c6340-bc14-4cb2-a9a6-6deda93c493b</vt:lpwstr>
  </property>
  <property fmtid="{D5CDD505-2E9C-101B-9397-08002B2CF9AE}" pid="21" name="BZ_Forum">
    <vt:lpwstr>3;#Not applicable|0049e722-bfb1-4a3f-9d08-af7366a9af40</vt:lpwstr>
  </property>
  <property fmtid="{D5CDD505-2E9C-101B-9397-08002B2CF9AE}" pid="22" name="BZ_Country">
    <vt:lpwstr>2;#Not applicable|ec01d90b-9d0f-4785-8785-e1ea615196bf</vt:lpwstr>
  </property>
  <property fmtid="{D5CDD505-2E9C-101B-9397-08002B2CF9AE}" pid="23" name="BZ_Theme">
    <vt:lpwstr>1;#Humanitarian aid general|67032a61-48a4-40cb-b0a3-d3ce348f6e26</vt:lpwstr>
  </property>
</Properties>
</file>